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1D69" w14:textId="125626BD" w:rsidR="00BA6580" w:rsidRPr="009055A1" w:rsidRDefault="00CE148B" w:rsidP="00BA6580">
      <w:pPr>
        <w:keepNext/>
        <w:shd w:val="clear" w:color="auto" w:fill="D9D9D9"/>
        <w:spacing w:before="240" w:after="120"/>
        <w:jc w:val="center"/>
        <w:outlineLvl w:val="1"/>
        <w:rPr>
          <w:rFonts w:ascii="Arial" w:hAnsi="Arial" w:cs="Arial"/>
          <w:sz w:val="20"/>
        </w:rPr>
      </w:pPr>
      <w:r w:rsidRPr="009055A1">
        <w:rPr>
          <w:rFonts w:ascii="Arial" w:hAnsi="Arial" w:cs="Arial"/>
          <w:sz w:val="20"/>
        </w:rPr>
        <w:t>CONF</w:t>
      </w:r>
      <w:r w:rsidR="008404A6">
        <w:rPr>
          <w:rFonts w:ascii="Arial" w:hAnsi="Arial" w:cs="Arial"/>
          <w:sz w:val="20"/>
        </w:rPr>
        <w:t>E</w:t>
      </w:r>
      <w:r w:rsidRPr="009055A1">
        <w:rPr>
          <w:rFonts w:ascii="Arial" w:hAnsi="Arial" w:cs="Arial"/>
          <w:sz w:val="20"/>
        </w:rPr>
        <w:t>RENCE DES PR</w:t>
      </w:r>
      <w:r w:rsidR="008404A6">
        <w:rPr>
          <w:rFonts w:ascii="Arial" w:hAnsi="Arial" w:cs="Arial"/>
          <w:sz w:val="20"/>
        </w:rPr>
        <w:t>E</w:t>
      </w:r>
      <w:r w:rsidRPr="009055A1">
        <w:rPr>
          <w:rFonts w:ascii="Arial" w:hAnsi="Arial" w:cs="Arial"/>
          <w:sz w:val="20"/>
        </w:rPr>
        <w:t>SIDENTS DES PARLEMENTS DE L’UNION EUROP</w:t>
      </w:r>
      <w:r w:rsidR="008404A6">
        <w:rPr>
          <w:rFonts w:ascii="Arial" w:hAnsi="Arial" w:cs="Arial"/>
          <w:sz w:val="20"/>
        </w:rPr>
        <w:t>E</w:t>
      </w:r>
      <w:r w:rsidRPr="009055A1">
        <w:rPr>
          <w:rFonts w:ascii="Arial" w:hAnsi="Arial" w:cs="Arial"/>
          <w:sz w:val="20"/>
        </w:rPr>
        <w:t>ENNE</w:t>
      </w:r>
    </w:p>
    <w:p w14:paraId="45B519E3" w14:textId="77777777" w:rsidR="00BA6580" w:rsidRPr="002C1FFF" w:rsidRDefault="00BA6580" w:rsidP="00E706A3">
      <w:pPr>
        <w:pStyle w:val="Titolo1"/>
        <w:rPr>
          <w:rFonts w:cs="Arial"/>
        </w:rPr>
      </w:pPr>
    </w:p>
    <w:p w14:paraId="4FAF0403" w14:textId="5DF70646" w:rsidR="00E706A3" w:rsidRPr="007A4900" w:rsidRDefault="00C1184F" w:rsidP="00E706A3">
      <w:pPr>
        <w:pStyle w:val="Titolo1"/>
      </w:pPr>
      <w:r>
        <w:t xml:space="preserve">SESSION </w:t>
      </w:r>
      <w:r w:rsidR="00450269">
        <w:t>III -</w:t>
      </w:r>
      <w:r w:rsidR="00F9604B">
        <w:t xml:space="preserve"> </w:t>
      </w:r>
      <w:r w:rsidR="001854EE">
        <w:t>Les</w:t>
      </w:r>
      <w:r w:rsidR="00F9604B">
        <w:t xml:space="preserve"> Parl</w:t>
      </w:r>
      <w:r w:rsidR="001854EE">
        <w:t>ements de l’Union europ</w:t>
      </w:r>
      <w:r w:rsidR="002E2383">
        <w:rPr>
          <w:rFonts w:cs="Arial"/>
        </w:rPr>
        <w:t>é</w:t>
      </w:r>
      <w:r w:rsidR="001854EE">
        <w:t>enne dans les n</w:t>
      </w:r>
      <w:r w:rsidR="002E2383">
        <w:rPr>
          <w:rFonts w:cs="Arial"/>
        </w:rPr>
        <w:t>é</w:t>
      </w:r>
      <w:r w:rsidR="001854EE">
        <w:t>gociations sur les traités internationaux</w:t>
      </w:r>
    </w:p>
    <w:p w14:paraId="0839CC2C" w14:textId="380602D9" w:rsidR="00E706A3" w:rsidRPr="004F6846" w:rsidRDefault="00E706A3" w:rsidP="00DC4D35">
      <w:pPr>
        <w:jc w:val="center"/>
        <w:rPr>
          <w:rFonts w:ascii="Arial" w:hAnsi="Arial" w:cs="Arial"/>
          <w:u w:val="single"/>
        </w:rPr>
      </w:pPr>
      <w:r w:rsidRPr="004F6846">
        <w:rPr>
          <w:rFonts w:ascii="Arial" w:hAnsi="Arial" w:cs="Arial"/>
          <w:u w:val="single"/>
        </w:rPr>
        <w:t>Not</w:t>
      </w:r>
      <w:r w:rsidR="001854EE" w:rsidRPr="004F6846">
        <w:rPr>
          <w:rFonts w:ascii="Arial" w:hAnsi="Arial" w:cs="Arial"/>
          <w:u w:val="single"/>
        </w:rPr>
        <w:t>e thématique</w:t>
      </w:r>
    </w:p>
    <w:p w14:paraId="2C5A68BC" w14:textId="100721E3" w:rsidR="00F9604B" w:rsidRPr="00315BDB" w:rsidRDefault="00DC7796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thème du r</w:t>
      </w:r>
      <w:r w:rsidR="00FD395E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le que les Parlements de l’Union jouent ou peuvent jouer dans le cadre du processus complexe de définition d’un accord entre l’UE et des </w:t>
      </w:r>
      <w:r w:rsidR="00913201">
        <w:rPr>
          <w:rFonts w:ascii="Arial" w:hAnsi="Arial" w:cs="Arial"/>
        </w:rPr>
        <w:t>tierces parties</w:t>
      </w:r>
      <w:r w:rsidR="008E28B8">
        <w:rPr>
          <w:rFonts w:ascii="Arial" w:hAnsi="Arial" w:cs="Arial"/>
        </w:rPr>
        <w:t xml:space="preserve"> est en train de prendre</w:t>
      </w:r>
      <w:r>
        <w:rPr>
          <w:rFonts w:ascii="Arial" w:hAnsi="Arial" w:cs="Arial"/>
        </w:rPr>
        <w:t xml:space="preserve"> une importance</w:t>
      </w:r>
      <w:r w:rsidR="00913201">
        <w:rPr>
          <w:rFonts w:ascii="Arial" w:hAnsi="Arial" w:cs="Arial"/>
        </w:rPr>
        <w:t xml:space="preserve"> </w:t>
      </w:r>
      <w:r w:rsidR="008E28B8">
        <w:rPr>
          <w:rFonts w:ascii="Arial" w:hAnsi="Arial" w:cs="Arial"/>
        </w:rPr>
        <w:t>grand</w:t>
      </w:r>
      <w:r w:rsidR="00913201">
        <w:rPr>
          <w:rFonts w:ascii="Arial" w:hAnsi="Arial" w:cs="Arial"/>
        </w:rPr>
        <w:t xml:space="preserve">issante dans le débat public, ainsi que dans le dialogue politique, en s’inscrivant dans un débat plus </w:t>
      </w:r>
      <w:r w:rsidR="008E28B8">
        <w:rPr>
          <w:rFonts w:ascii="Arial" w:hAnsi="Arial" w:cs="Arial"/>
        </w:rPr>
        <w:t>large</w:t>
      </w:r>
      <w:r w:rsidR="00913201">
        <w:rPr>
          <w:rFonts w:ascii="Arial" w:hAnsi="Arial" w:cs="Arial"/>
        </w:rPr>
        <w:t xml:space="preserve"> sur la transparence des négociations, la publicité des informations et les marges </w:t>
      </w:r>
      <w:r w:rsidR="00B00A65">
        <w:rPr>
          <w:rFonts w:ascii="Arial" w:hAnsi="Arial" w:cs="Arial"/>
        </w:rPr>
        <w:t>pour l’exercice d’un contrôle démocratique.</w:t>
      </w:r>
      <w:bookmarkStart w:id="0" w:name="_GoBack"/>
      <w:bookmarkEnd w:id="0"/>
    </w:p>
    <w:p w14:paraId="2370C958" w14:textId="610481D6" w:rsidR="00F9604B" w:rsidRPr="00315BDB" w:rsidRDefault="00B20483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s’agit d’une question particulièrement actuelle compte tenu que sur t</w:t>
      </w:r>
      <w:r w:rsidR="00FD395E">
        <w:rPr>
          <w:rFonts w:ascii="Arial" w:hAnsi="Arial" w:cs="Arial"/>
        </w:rPr>
        <w:t>r</w:t>
      </w:r>
      <w:r>
        <w:rPr>
          <w:rFonts w:ascii="Arial" w:hAnsi="Arial" w:cs="Arial"/>
        </w:rPr>
        <w:t>ois importantes négo</w:t>
      </w:r>
      <w:r w:rsidR="00B36580">
        <w:rPr>
          <w:rFonts w:ascii="Arial" w:hAnsi="Arial" w:cs="Arial"/>
        </w:rPr>
        <w:t>ciations en cours (</w:t>
      </w:r>
      <w:r w:rsidR="008E28B8">
        <w:rPr>
          <w:rFonts w:ascii="Arial" w:hAnsi="Arial" w:cs="Arial"/>
        </w:rPr>
        <w:t>ACS</w:t>
      </w:r>
      <w:r w:rsidR="00F9604B" w:rsidRPr="00315B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AECG</w:t>
      </w:r>
      <w:r w:rsidR="00F9604B" w:rsidRPr="00315BD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t</w:t>
      </w:r>
      <w:r w:rsidR="00F9604B" w:rsidRPr="00315BDB">
        <w:rPr>
          <w:rFonts w:ascii="Arial" w:hAnsi="Arial" w:cs="Arial"/>
        </w:rPr>
        <w:t xml:space="preserve"> TTIP</w:t>
      </w:r>
      <w:r w:rsidR="00F9604B" w:rsidRPr="00315BDB">
        <w:rPr>
          <w:rFonts w:ascii="Arial" w:hAnsi="Arial" w:cs="Arial"/>
          <w:vertAlign w:val="superscript"/>
        </w:rPr>
        <w:footnoteReference w:id="1"/>
      </w:r>
      <w:r w:rsidR="00F9604B" w:rsidRPr="00315BDB">
        <w:rPr>
          <w:rFonts w:ascii="Arial" w:hAnsi="Arial" w:cs="Arial"/>
        </w:rPr>
        <w:t xml:space="preserve">) </w:t>
      </w:r>
      <w:r w:rsidR="00B36580">
        <w:rPr>
          <w:rFonts w:ascii="Arial" w:hAnsi="Arial" w:cs="Arial"/>
        </w:rPr>
        <w:t>se concentrent les craintes et les attent</w:t>
      </w:r>
      <w:r w:rsidR="0077502B">
        <w:rPr>
          <w:rFonts w:ascii="Arial" w:hAnsi="Arial" w:cs="Arial"/>
        </w:rPr>
        <w:t>ions de la société civile et que</w:t>
      </w:r>
      <w:r w:rsidR="00B36580">
        <w:rPr>
          <w:rFonts w:ascii="Arial" w:hAnsi="Arial" w:cs="Arial"/>
        </w:rPr>
        <w:t>,</w:t>
      </w:r>
      <w:r w:rsidR="0077502B">
        <w:rPr>
          <w:rFonts w:ascii="Arial" w:hAnsi="Arial" w:cs="Arial"/>
        </w:rPr>
        <w:t xml:space="preserve"> pour tenter </w:t>
      </w:r>
      <w:r w:rsidR="004473A5">
        <w:rPr>
          <w:rFonts w:ascii="Arial" w:hAnsi="Arial" w:cs="Arial"/>
        </w:rPr>
        <w:t>de s</w:t>
      </w:r>
      <w:r w:rsidR="00FD395E">
        <w:rPr>
          <w:rFonts w:ascii="Arial" w:hAnsi="Arial" w:cs="Arial"/>
        </w:rPr>
        <w:t>at</w:t>
      </w:r>
      <w:r w:rsidR="004473A5">
        <w:rPr>
          <w:rFonts w:ascii="Arial" w:hAnsi="Arial" w:cs="Arial"/>
        </w:rPr>
        <w:t>isfaire</w:t>
      </w:r>
      <w:r w:rsidR="00B72EA5">
        <w:rPr>
          <w:rFonts w:ascii="Arial" w:hAnsi="Arial" w:cs="Arial"/>
        </w:rPr>
        <w:t xml:space="preserve"> partiellement la forte demande de transparence avancée de toutes parts, le Conseil a autorisé la Commission </w:t>
      </w:r>
      <w:r w:rsidR="00361585">
        <w:rPr>
          <w:rFonts w:ascii="Arial" w:hAnsi="Arial" w:cs="Arial"/>
        </w:rPr>
        <w:t>à rendre publics</w:t>
      </w:r>
      <w:r w:rsidR="004473A5">
        <w:rPr>
          <w:rFonts w:ascii="Arial" w:hAnsi="Arial" w:cs="Arial"/>
        </w:rPr>
        <w:t>,</w:t>
      </w:r>
      <w:r w:rsidR="00361585">
        <w:rPr>
          <w:rFonts w:ascii="Arial" w:hAnsi="Arial" w:cs="Arial"/>
        </w:rPr>
        <w:t xml:space="preserve"> pour la première fois</w:t>
      </w:r>
      <w:r w:rsidR="004473A5">
        <w:rPr>
          <w:rFonts w:ascii="Arial" w:hAnsi="Arial" w:cs="Arial"/>
        </w:rPr>
        <w:t>, les mandats de négociation</w:t>
      </w:r>
      <w:r w:rsidR="00F9604B" w:rsidRPr="00315BDB">
        <w:rPr>
          <w:rFonts w:ascii="Arial" w:hAnsi="Arial" w:cs="Arial"/>
          <w:vertAlign w:val="superscript"/>
        </w:rPr>
        <w:footnoteReference w:id="2"/>
      </w:r>
      <w:r w:rsidR="00F9604B" w:rsidRPr="00315BDB">
        <w:rPr>
          <w:rFonts w:ascii="Arial" w:hAnsi="Arial" w:cs="Arial"/>
        </w:rPr>
        <w:t>.</w:t>
      </w:r>
    </w:p>
    <w:p w14:paraId="38E8EEAA" w14:textId="3E35F261" w:rsidR="00F9604B" w:rsidRPr="00315BDB" w:rsidRDefault="009E7C69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effet, les</w:t>
      </w:r>
      <w:r w:rsidR="00877BE8">
        <w:rPr>
          <w:rFonts w:ascii="Arial" w:hAnsi="Arial" w:cs="Arial"/>
        </w:rPr>
        <w:t xml:space="preserve"> traités cités</w:t>
      </w:r>
      <w:r>
        <w:rPr>
          <w:rFonts w:ascii="Arial" w:hAnsi="Arial" w:cs="Arial"/>
        </w:rPr>
        <w:t xml:space="preserve"> ont une très </w:t>
      </w:r>
      <w:r w:rsidR="004549C5">
        <w:rPr>
          <w:rFonts w:ascii="Arial" w:hAnsi="Arial" w:cs="Arial"/>
        </w:rPr>
        <w:t>vaste</w:t>
      </w:r>
      <w:r>
        <w:rPr>
          <w:rFonts w:ascii="Arial" w:hAnsi="Arial" w:cs="Arial"/>
        </w:rPr>
        <w:t xml:space="preserve"> portée</w:t>
      </w:r>
      <w:r w:rsidR="004549C5">
        <w:rPr>
          <w:rFonts w:ascii="Arial" w:hAnsi="Arial" w:cs="Arial"/>
        </w:rPr>
        <w:t xml:space="preserve"> </w:t>
      </w:r>
      <w:r w:rsidR="0086554F">
        <w:rPr>
          <w:rFonts w:ascii="Arial" w:hAnsi="Arial" w:cs="Arial"/>
        </w:rPr>
        <w:t>car ils</w:t>
      </w:r>
      <w:r w:rsidR="00113E19">
        <w:rPr>
          <w:rFonts w:ascii="Arial" w:hAnsi="Arial" w:cs="Arial"/>
        </w:rPr>
        <w:t xml:space="preserve"> concernent de nombreux aspects très sensibles, non seulement du point de vue économique, à cause des retombées qu’ils peuvent avoir sur les systèmes productifs et sur les perspectives de croissance des économies européennes, mais également en ce qui concerne la </w:t>
      </w:r>
      <w:r w:rsidR="000F104E">
        <w:rPr>
          <w:rFonts w:ascii="Arial" w:hAnsi="Arial" w:cs="Arial"/>
        </w:rPr>
        <w:t>sauvegarde</w:t>
      </w:r>
      <w:r w:rsidR="00113E19">
        <w:rPr>
          <w:rFonts w:ascii="Arial" w:hAnsi="Arial" w:cs="Arial"/>
        </w:rPr>
        <w:t xml:space="preserve"> des droits fondamentaux.</w:t>
      </w:r>
    </w:p>
    <w:p w14:paraId="5B18C45A" w14:textId="4B840347" w:rsidR="00F9604B" w:rsidRPr="00315BDB" w:rsidRDefault="0086554F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Pour ce qui est notamment du</w:t>
      </w:r>
      <w:r w:rsidR="000F104E">
        <w:rPr>
          <w:rFonts w:ascii="Arial" w:hAnsi="Arial" w:cs="Arial"/>
        </w:rPr>
        <w:t xml:space="preserve"> Parlement européen, il faut considérer que </w:t>
      </w:r>
      <w:r>
        <w:rPr>
          <w:rFonts w:ascii="Arial" w:hAnsi="Arial" w:cs="Arial"/>
        </w:rPr>
        <w:t xml:space="preserve">celui-ci </w:t>
      </w:r>
      <w:r w:rsidR="000F104E">
        <w:rPr>
          <w:rFonts w:ascii="Arial" w:hAnsi="Arial" w:cs="Arial"/>
        </w:rPr>
        <w:t xml:space="preserve">a vu partiellement renforcées ses compétences en matière d’accords </w:t>
      </w:r>
      <w:r w:rsidR="000F104E">
        <w:rPr>
          <w:rFonts w:ascii="Arial" w:hAnsi="Arial" w:cs="Arial"/>
        </w:rPr>
        <w:lastRenderedPageBreak/>
        <w:t>internationa</w:t>
      </w:r>
      <w:r w:rsidR="00055E29">
        <w:rPr>
          <w:rFonts w:ascii="Arial" w:hAnsi="Arial" w:cs="Arial"/>
        </w:rPr>
        <w:t>ux</w:t>
      </w:r>
      <w:r w:rsidRPr="00865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le Traité de Lisbonne</w:t>
      </w:r>
      <w:r w:rsidR="00055E29">
        <w:rPr>
          <w:rFonts w:ascii="Arial" w:hAnsi="Arial" w:cs="Arial"/>
        </w:rPr>
        <w:t>, compte tenu que, d’une part</w:t>
      </w:r>
      <w:r w:rsidR="000F104E">
        <w:rPr>
          <w:rFonts w:ascii="Arial" w:hAnsi="Arial" w:cs="Arial"/>
        </w:rPr>
        <w:t xml:space="preserve"> </w:t>
      </w:r>
      <w:r w:rsidR="00F9604B" w:rsidRPr="00315BDB">
        <w:rPr>
          <w:rFonts w:ascii="Arial" w:hAnsi="Arial" w:cs="Arial"/>
        </w:rPr>
        <w:t>(artic</w:t>
      </w:r>
      <w:r w:rsidR="00055E29">
        <w:rPr>
          <w:rFonts w:ascii="Arial" w:hAnsi="Arial" w:cs="Arial"/>
        </w:rPr>
        <w:t>le</w:t>
      </w:r>
      <w:r w:rsidR="00F9604B" w:rsidRPr="00315BDB">
        <w:rPr>
          <w:rFonts w:ascii="Arial" w:hAnsi="Arial" w:cs="Arial"/>
        </w:rPr>
        <w:t xml:space="preserve"> 218, paragra</w:t>
      </w:r>
      <w:r w:rsidR="00055E29">
        <w:rPr>
          <w:rFonts w:ascii="Arial" w:hAnsi="Arial" w:cs="Arial"/>
        </w:rPr>
        <w:t>phe</w:t>
      </w:r>
      <w:r w:rsidR="00F9604B" w:rsidRPr="00315BDB">
        <w:rPr>
          <w:rFonts w:ascii="Arial" w:hAnsi="Arial" w:cs="Arial"/>
        </w:rPr>
        <w:t xml:space="preserve"> 6, d</w:t>
      </w:r>
      <w:r w:rsidR="00055E29">
        <w:rPr>
          <w:rFonts w:ascii="Arial" w:hAnsi="Arial" w:cs="Arial"/>
        </w:rPr>
        <w:t>u</w:t>
      </w:r>
      <w:r w:rsidR="00767193">
        <w:rPr>
          <w:rFonts w:ascii="Arial" w:hAnsi="Arial" w:cs="Arial"/>
        </w:rPr>
        <w:t xml:space="preserve"> </w:t>
      </w:r>
      <w:r w:rsidR="00F9604B" w:rsidRPr="00315BDB">
        <w:rPr>
          <w:rFonts w:ascii="Arial" w:hAnsi="Arial" w:cs="Arial"/>
        </w:rPr>
        <w:t>Tra</w:t>
      </w:r>
      <w:r w:rsidR="00055E29">
        <w:rPr>
          <w:rFonts w:ascii="Arial" w:hAnsi="Arial" w:cs="Arial"/>
        </w:rPr>
        <w:t xml:space="preserve">ité sur le fonctionnement </w:t>
      </w:r>
      <w:r w:rsidR="00F9604B" w:rsidRPr="00315BDB">
        <w:rPr>
          <w:rFonts w:ascii="Arial" w:hAnsi="Arial" w:cs="Arial"/>
        </w:rPr>
        <w:t>de</w:t>
      </w:r>
      <w:r w:rsidR="00055E29">
        <w:rPr>
          <w:rFonts w:ascii="Arial" w:hAnsi="Arial" w:cs="Arial"/>
        </w:rPr>
        <w:t xml:space="preserve"> </w:t>
      </w:r>
      <w:r w:rsidR="00F9604B" w:rsidRPr="00315BDB">
        <w:rPr>
          <w:rFonts w:ascii="Arial" w:hAnsi="Arial" w:cs="Arial"/>
        </w:rPr>
        <w:t>l’UE-TFUE)</w:t>
      </w:r>
      <w:r w:rsidR="00055E29">
        <w:rPr>
          <w:rFonts w:ascii="Arial" w:hAnsi="Arial" w:cs="Arial"/>
        </w:rPr>
        <w:t>,</w:t>
      </w:r>
      <w:r w:rsidR="00F9604B" w:rsidRPr="00315BDB">
        <w:rPr>
          <w:rFonts w:ascii="Arial" w:hAnsi="Arial" w:cs="Arial"/>
        </w:rPr>
        <w:t xml:space="preserve"> </w:t>
      </w:r>
      <w:r w:rsidR="00055E29">
        <w:rPr>
          <w:rFonts w:ascii="Arial" w:hAnsi="Arial" w:cs="Arial"/>
        </w:rPr>
        <w:t xml:space="preserve">ont été élargis les cas </w:t>
      </w:r>
      <w:r w:rsidR="00E97266">
        <w:rPr>
          <w:rFonts w:ascii="Arial" w:hAnsi="Arial" w:cs="Arial"/>
        </w:rPr>
        <w:t>où le Conseil, avant de conclure un accord, doit obtenir l</w:t>
      </w:r>
      <w:r w:rsidR="005B2209">
        <w:rPr>
          <w:rFonts w:ascii="Arial" w:hAnsi="Arial" w:cs="Arial"/>
        </w:rPr>
        <w:t>’approbation du Parlement européen et, de l’autre, a été introduite</w:t>
      </w:r>
      <w:r w:rsidR="00F9604B" w:rsidRPr="00315BDB">
        <w:rPr>
          <w:rFonts w:ascii="Arial" w:hAnsi="Arial" w:cs="Arial"/>
        </w:rPr>
        <w:t xml:space="preserve"> (artic</w:t>
      </w:r>
      <w:r w:rsidR="00FD395E">
        <w:rPr>
          <w:rFonts w:ascii="Arial" w:hAnsi="Arial" w:cs="Arial"/>
        </w:rPr>
        <w:t>le</w:t>
      </w:r>
      <w:r w:rsidR="00F9604B" w:rsidRPr="00315BDB">
        <w:rPr>
          <w:rFonts w:ascii="Arial" w:hAnsi="Arial" w:cs="Arial"/>
        </w:rPr>
        <w:t xml:space="preserve"> 218, </w:t>
      </w:r>
      <w:r w:rsidR="005B2209">
        <w:rPr>
          <w:rFonts w:ascii="Arial" w:hAnsi="Arial" w:cs="Arial"/>
        </w:rPr>
        <w:t>paragraphe</w:t>
      </w:r>
      <w:r w:rsidR="00F9604B" w:rsidRPr="00315BDB">
        <w:rPr>
          <w:rFonts w:ascii="Arial" w:hAnsi="Arial" w:cs="Arial"/>
        </w:rPr>
        <w:t xml:space="preserve"> 10, d</w:t>
      </w:r>
      <w:r w:rsidR="005B2209">
        <w:rPr>
          <w:rFonts w:ascii="Arial" w:hAnsi="Arial" w:cs="Arial"/>
        </w:rPr>
        <w:t>u</w:t>
      </w:r>
      <w:r w:rsidR="00F9604B" w:rsidRPr="00315BDB">
        <w:rPr>
          <w:rFonts w:ascii="Arial" w:hAnsi="Arial" w:cs="Arial"/>
        </w:rPr>
        <w:t xml:space="preserve"> TFUE) </w:t>
      </w:r>
      <w:r w:rsidR="005B2209">
        <w:rPr>
          <w:rFonts w:ascii="Arial" w:hAnsi="Arial" w:cs="Arial"/>
        </w:rPr>
        <w:t>l’obligation d’informer le Parlement européen immédiatement et complètement durant toutes les étapes de la procédure de négociation.</w:t>
      </w:r>
    </w:p>
    <w:p w14:paraId="60318D4E" w14:textId="1B525F36" w:rsidR="00F9604B" w:rsidRPr="00315BDB" w:rsidRDefault="00F522F0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Rappelons à cet égard que le PE </w:t>
      </w:r>
      <w:r w:rsidR="00F9604B" w:rsidRPr="00315BD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déjà utilisé largement ses nouvelles compétences en refusant d’approuver </w:t>
      </w:r>
      <w:r w:rsidR="00F9604B" w:rsidRPr="00315BDB">
        <w:rPr>
          <w:rFonts w:ascii="Arial" w:hAnsi="Arial" w:cs="Arial"/>
        </w:rPr>
        <w:t>l’ACTA, l’accord</w:t>
      </w:r>
      <w:r w:rsidR="001A0DE0">
        <w:rPr>
          <w:rFonts w:ascii="Arial" w:hAnsi="Arial" w:cs="Arial"/>
        </w:rPr>
        <w:t xml:space="preserve"> commercial anti-contrefaçon</w:t>
      </w:r>
      <w:r w:rsidR="001401B0">
        <w:rPr>
          <w:rFonts w:ascii="Arial" w:hAnsi="Arial" w:cs="Arial"/>
        </w:rPr>
        <w:t xml:space="preserve"> qui, par conséquent</w:t>
      </w:r>
      <w:r w:rsidR="00C27F97">
        <w:rPr>
          <w:rFonts w:ascii="Arial" w:hAnsi="Arial" w:cs="Arial"/>
        </w:rPr>
        <w:t>, n’est jamais entré en vigueur.</w:t>
      </w:r>
      <w:r w:rsidR="001A0DE0">
        <w:rPr>
          <w:rFonts w:ascii="Arial" w:hAnsi="Arial" w:cs="Arial"/>
        </w:rPr>
        <w:t xml:space="preserve"> </w:t>
      </w:r>
      <w:r w:rsidR="00C27F97">
        <w:rPr>
          <w:rFonts w:ascii="Arial" w:hAnsi="Arial" w:cs="Arial"/>
        </w:rPr>
        <w:t xml:space="preserve">En ce qui concerne </w:t>
      </w:r>
      <w:r w:rsidR="00901E08">
        <w:rPr>
          <w:rFonts w:ascii="Arial" w:hAnsi="Arial" w:cs="Arial"/>
        </w:rPr>
        <w:t>aussi</w:t>
      </w:r>
      <w:r w:rsidR="00C27F97">
        <w:rPr>
          <w:rFonts w:ascii="Arial" w:hAnsi="Arial" w:cs="Arial"/>
        </w:rPr>
        <w:t xml:space="preserve"> les négociations entre l’UE et les </w:t>
      </w:r>
      <w:r w:rsidR="000841C2">
        <w:rPr>
          <w:rFonts w:ascii="Arial" w:hAnsi="Arial" w:cs="Arial"/>
        </w:rPr>
        <w:t>É</w:t>
      </w:r>
      <w:r w:rsidR="00C27F97">
        <w:rPr>
          <w:rFonts w:ascii="Arial" w:hAnsi="Arial" w:cs="Arial"/>
        </w:rPr>
        <w:t>tats-Unis d’Amérique pour le</w:t>
      </w:r>
      <w:r w:rsidR="00F9604B" w:rsidRPr="00315BDB">
        <w:rPr>
          <w:rFonts w:ascii="Arial" w:hAnsi="Arial" w:cs="Arial"/>
        </w:rPr>
        <w:t xml:space="preserve"> TTIP, </w:t>
      </w:r>
      <w:r w:rsidR="00A67490">
        <w:rPr>
          <w:rFonts w:ascii="Arial" w:hAnsi="Arial" w:cs="Arial"/>
        </w:rPr>
        <w:t>le</w:t>
      </w:r>
      <w:r w:rsidR="00F9604B" w:rsidRPr="00315BDB">
        <w:rPr>
          <w:rFonts w:ascii="Arial" w:hAnsi="Arial" w:cs="Arial"/>
        </w:rPr>
        <w:t xml:space="preserve"> Parl</w:t>
      </w:r>
      <w:r w:rsidR="00A67490">
        <w:rPr>
          <w:rFonts w:ascii="Arial" w:hAnsi="Arial" w:cs="Arial"/>
        </w:rPr>
        <w:t>ement européen manifeste une attention constante, en utilisant les instruments procéduraux à sa disposition.</w:t>
      </w:r>
      <w:r w:rsidR="00F9604B" w:rsidRPr="00315BDB">
        <w:rPr>
          <w:rFonts w:ascii="Arial" w:hAnsi="Arial" w:cs="Arial"/>
        </w:rPr>
        <w:t xml:space="preserve"> </w:t>
      </w:r>
      <w:r w:rsidR="005256A3">
        <w:rPr>
          <w:rFonts w:ascii="Arial" w:hAnsi="Arial" w:cs="Arial"/>
        </w:rPr>
        <w:t>Parmi ces instruments, il convient notamment de mentionner</w:t>
      </w:r>
      <w:r w:rsidR="0052445E">
        <w:rPr>
          <w:rFonts w:ascii="Arial" w:hAnsi="Arial" w:cs="Arial"/>
        </w:rPr>
        <w:t xml:space="preserve"> le rapport que le PE, conformément à l’ar</w:t>
      </w:r>
      <w:r w:rsidR="000841C2">
        <w:rPr>
          <w:rFonts w:ascii="Arial" w:hAnsi="Arial" w:cs="Arial"/>
        </w:rPr>
        <w:t>t</w:t>
      </w:r>
      <w:r w:rsidR="0052445E">
        <w:rPr>
          <w:rFonts w:ascii="Arial" w:hAnsi="Arial" w:cs="Arial"/>
        </w:rPr>
        <w:t xml:space="preserve">icle 108 de son règlement, </w:t>
      </w:r>
      <w:r w:rsidR="001272ED">
        <w:rPr>
          <w:rFonts w:ascii="Arial" w:hAnsi="Arial" w:cs="Arial"/>
        </w:rPr>
        <w:t>peut adopter</w:t>
      </w:r>
      <w:r w:rsidR="00F9604B" w:rsidRPr="00315BDB">
        <w:rPr>
          <w:rFonts w:ascii="Arial" w:hAnsi="Arial" w:cs="Arial"/>
        </w:rPr>
        <w:t xml:space="preserve"> </w:t>
      </w:r>
      <w:r w:rsidR="005256A3">
        <w:rPr>
          <w:rFonts w:ascii="Arial" w:hAnsi="Arial" w:cs="Arial"/>
        </w:rPr>
        <w:t xml:space="preserve">à tout moment de la négociation dans le but </w:t>
      </w:r>
      <w:r w:rsidR="0052445E">
        <w:rPr>
          <w:rFonts w:ascii="Arial" w:hAnsi="Arial" w:cs="Arial"/>
        </w:rPr>
        <w:t>d’adresse</w:t>
      </w:r>
      <w:r w:rsidR="00062EBE">
        <w:rPr>
          <w:rFonts w:ascii="Arial" w:hAnsi="Arial" w:cs="Arial"/>
        </w:rPr>
        <w:t>r</w:t>
      </w:r>
      <w:r w:rsidR="0052445E">
        <w:rPr>
          <w:rFonts w:ascii="Arial" w:hAnsi="Arial" w:cs="Arial"/>
        </w:rPr>
        <w:t xml:space="preserve"> à la Commission européenne des recommandations spécifiques, en demandant qu’elles</w:t>
      </w:r>
      <w:r w:rsidR="002743BA">
        <w:rPr>
          <w:rFonts w:ascii="Arial" w:hAnsi="Arial" w:cs="Arial"/>
        </w:rPr>
        <w:t xml:space="preserve"> soient prises en co</w:t>
      </w:r>
      <w:r w:rsidR="001272ED">
        <w:rPr>
          <w:rFonts w:ascii="Arial" w:hAnsi="Arial" w:cs="Arial"/>
        </w:rPr>
        <w:t>mpte</w:t>
      </w:r>
      <w:r w:rsidR="002743BA">
        <w:rPr>
          <w:rFonts w:ascii="Arial" w:hAnsi="Arial" w:cs="Arial"/>
        </w:rPr>
        <w:t xml:space="preserve"> avant la conclusion d’un accord.</w:t>
      </w:r>
    </w:p>
    <w:p w14:paraId="6806D6A7" w14:textId="2B9F7E5E" w:rsidR="00CD266C" w:rsidRPr="009C7C87" w:rsidRDefault="009C7C87" w:rsidP="00F9604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7C87">
        <w:rPr>
          <w:rFonts w:ascii="Arial" w:hAnsi="Arial" w:cs="Arial"/>
          <w:sz w:val="20"/>
          <w:szCs w:val="20"/>
        </w:rPr>
        <w:t>L</w:t>
      </w:r>
      <w:r w:rsidR="00E335CB" w:rsidRPr="009C7C87">
        <w:rPr>
          <w:rFonts w:ascii="Arial" w:hAnsi="Arial" w:cs="Arial"/>
          <w:sz w:val="20"/>
          <w:szCs w:val="20"/>
        </w:rPr>
        <w:t xml:space="preserve">a </w:t>
      </w:r>
      <w:r w:rsidR="00D912F0" w:rsidRPr="009C7C87">
        <w:rPr>
          <w:rFonts w:ascii="Arial" w:hAnsi="Arial" w:cs="Arial"/>
          <w:sz w:val="20"/>
          <w:szCs w:val="20"/>
        </w:rPr>
        <w:t>C</w:t>
      </w:r>
      <w:r w:rsidR="00E335CB" w:rsidRPr="009C7C87">
        <w:rPr>
          <w:rFonts w:ascii="Arial" w:hAnsi="Arial" w:cs="Arial"/>
          <w:sz w:val="20"/>
          <w:szCs w:val="20"/>
        </w:rPr>
        <w:t>o</w:t>
      </w:r>
      <w:r w:rsidR="00A23C5D">
        <w:rPr>
          <w:rFonts w:ascii="Arial" w:hAnsi="Arial" w:cs="Arial"/>
          <w:sz w:val="20"/>
          <w:szCs w:val="20"/>
        </w:rPr>
        <w:t xml:space="preserve">mmission </w:t>
      </w:r>
      <w:r w:rsidR="001272ED">
        <w:rPr>
          <w:rFonts w:ascii="Arial" w:hAnsi="Arial" w:cs="Arial"/>
          <w:sz w:val="20"/>
          <w:szCs w:val="20"/>
        </w:rPr>
        <w:t xml:space="preserve">du </w:t>
      </w:r>
      <w:r w:rsidR="00A23C5D">
        <w:rPr>
          <w:rFonts w:ascii="Arial" w:hAnsi="Arial" w:cs="Arial"/>
          <w:sz w:val="20"/>
          <w:szCs w:val="20"/>
        </w:rPr>
        <w:t>c</w:t>
      </w:r>
      <w:r w:rsidR="00D912F0" w:rsidRPr="009C7C87">
        <w:rPr>
          <w:rFonts w:ascii="Arial" w:hAnsi="Arial" w:cs="Arial"/>
          <w:sz w:val="20"/>
          <w:szCs w:val="20"/>
        </w:rPr>
        <w:t>ommerc</w:t>
      </w:r>
      <w:r w:rsidR="00A43D9D">
        <w:rPr>
          <w:rFonts w:ascii="Arial" w:hAnsi="Arial" w:cs="Arial"/>
          <w:sz w:val="20"/>
          <w:szCs w:val="20"/>
        </w:rPr>
        <w:t>e international du PE</w:t>
      </w:r>
      <w:r w:rsidR="00D912F0" w:rsidRPr="009C7C87">
        <w:rPr>
          <w:rFonts w:ascii="Arial" w:hAnsi="Arial" w:cs="Arial"/>
          <w:sz w:val="20"/>
          <w:szCs w:val="20"/>
        </w:rPr>
        <w:t xml:space="preserve">, </w:t>
      </w:r>
      <w:r w:rsidR="00D64774">
        <w:rPr>
          <w:rFonts w:ascii="Arial" w:hAnsi="Arial" w:cs="Arial"/>
          <w:sz w:val="20"/>
          <w:szCs w:val="20"/>
        </w:rPr>
        <w:t>en sa qualité de commission compétente pour le</w:t>
      </w:r>
      <w:r w:rsidR="00D912F0" w:rsidRPr="009C7C87">
        <w:rPr>
          <w:rFonts w:ascii="Arial" w:hAnsi="Arial" w:cs="Arial"/>
          <w:sz w:val="20"/>
          <w:szCs w:val="20"/>
        </w:rPr>
        <w:t xml:space="preserve"> TTIP, </w:t>
      </w:r>
      <w:r w:rsidR="00D64774">
        <w:rPr>
          <w:rFonts w:ascii="Arial" w:hAnsi="Arial" w:cs="Arial"/>
          <w:sz w:val="20"/>
          <w:szCs w:val="20"/>
        </w:rPr>
        <w:t xml:space="preserve">est en train d’évaluer, avec l’aide </w:t>
      </w:r>
      <w:r w:rsidR="00690FA7">
        <w:rPr>
          <w:rFonts w:ascii="Arial" w:hAnsi="Arial" w:cs="Arial"/>
          <w:sz w:val="20"/>
          <w:szCs w:val="20"/>
        </w:rPr>
        <w:t xml:space="preserve">de 14 autres commissions parlementaires, le déroulement des négociations </w:t>
      </w:r>
      <w:r w:rsidR="00404195">
        <w:rPr>
          <w:rFonts w:ascii="Arial" w:hAnsi="Arial" w:cs="Arial"/>
          <w:sz w:val="20"/>
          <w:szCs w:val="20"/>
        </w:rPr>
        <w:t xml:space="preserve">à </w:t>
      </w:r>
      <w:r w:rsidR="00E335CB" w:rsidRPr="009C7C87">
        <w:rPr>
          <w:rFonts w:ascii="Arial" w:hAnsi="Arial" w:cs="Arial"/>
          <w:sz w:val="20"/>
          <w:szCs w:val="20"/>
        </w:rPr>
        <w:t>18</w:t>
      </w:r>
      <w:r w:rsidR="00690FA7">
        <w:rPr>
          <w:rFonts w:ascii="Arial" w:hAnsi="Arial" w:cs="Arial"/>
          <w:sz w:val="20"/>
          <w:szCs w:val="20"/>
        </w:rPr>
        <w:t xml:space="preserve"> mois </w:t>
      </w:r>
      <w:r w:rsidR="00404195">
        <w:rPr>
          <w:rFonts w:ascii="Arial" w:hAnsi="Arial" w:cs="Arial"/>
          <w:sz w:val="20"/>
          <w:szCs w:val="20"/>
        </w:rPr>
        <w:t>de</w:t>
      </w:r>
      <w:r w:rsidR="00C36E91">
        <w:rPr>
          <w:rFonts w:ascii="Arial" w:hAnsi="Arial" w:cs="Arial"/>
          <w:sz w:val="20"/>
          <w:szCs w:val="20"/>
        </w:rPr>
        <w:t xml:space="preserve"> leur début</w:t>
      </w:r>
      <w:r w:rsidR="00690FA7">
        <w:rPr>
          <w:rFonts w:ascii="Arial" w:hAnsi="Arial" w:cs="Arial"/>
          <w:sz w:val="20"/>
          <w:szCs w:val="20"/>
        </w:rPr>
        <w:t xml:space="preserve"> et après huit </w:t>
      </w:r>
      <w:r w:rsidR="001272ED">
        <w:rPr>
          <w:rFonts w:ascii="Arial" w:hAnsi="Arial" w:cs="Arial"/>
          <w:sz w:val="20"/>
          <w:szCs w:val="20"/>
        </w:rPr>
        <w:t>cycles</w:t>
      </w:r>
      <w:r w:rsidR="00690FA7">
        <w:rPr>
          <w:rFonts w:ascii="Arial" w:hAnsi="Arial" w:cs="Arial"/>
          <w:sz w:val="20"/>
          <w:szCs w:val="20"/>
        </w:rPr>
        <w:t xml:space="preserve"> de négociation</w:t>
      </w:r>
      <w:r w:rsidR="00101799">
        <w:rPr>
          <w:rFonts w:ascii="Arial" w:hAnsi="Arial" w:cs="Arial"/>
          <w:sz w:val="20"/>
          <w:szCs w:val="20"/>
        </w:rPr>
        <w:t xml:space="preserve">, et prépare sa proposition de recommandations qui devrait </w:t>
      </w:r>
      <w:r w:rsidR="000841C2">
        <w:rPr>
          <w:rFonts w:ascii="Arial" w:hAnsi="Arial" w:cs="Arial"/>
          <w:sz w:val="20"/>
          <w:szCs w:val="20"/>
        </w:rPr>
        <w:t>ê</w:t>
      </w:r>
      <w:r w:rsidR="00101799">
        <w:rPr>
          <w:rFonts w:ascii="Arial" w:hAnsi="Arial" w:cs="Arial"/>
          <w:sz w:val="20"/>
          <w:szCs w:val="20"/>
        </w:rPr>
        <w:t>tre approuvée en séance plénière en mai</w:t>
      </w:r>
      <w:r w:rsidR="00CD266C" w:rsidRPr="009C7C87">
        <w:rPr>
          <w:rFonts w:ascii="Arial" w:hAnsi="Arial" w:cs="Arial"/>
          <w:sz w:val="20"/>
          <w:szCs w:val="20"/>
        </w:rPr>
        <w:t xml:space="preserve"> 2015.</w:t>
      </w:r>
    </w:p>
    <w:p w14:paraId="6965C564" w14:textId="372E5763" w:rsidR="00F9604B" w:rsidRPr="00315BDB" w:rsidRDefault="00C9552B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Néanmoins</w:t>
      </w:r>
      <w:r w:rsidR="000B0E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 processus </w:t>
      </w:r>
      <w:r w:rsidR="00452FA2">
        <w:rPr>
          <w:rFonts w:ascii="Arial" w:hAnsi="Arial" w:cs="Arial"/>
        </w:rPr>
        <w:t>tout</w:t>
      </w:r>
      <w:r>
        <w:rPr>
          <w:rFonts w:ascii="Arial" w:hAnsi="Arial" w:cs="Arial"/>
        </w:rPr>
        <w:t xml:space="preserve"> entier de négociation d’un accord reste essentiellement intergouvernemental, </w:t>
      </w:r>
      <w:r w:rsidR="00C36E91">
        <w:rPr>
          <w:rFonts w:ascii="Arial" w:hAnsi="Arial" w:cs="Arial"/>
        </w:rPr>
        <w:t>compte tenu du</w:t>
      </w:r>
      <w:r>
        <w:rPr>
          <w:rFonts w:ascii="Arial" w:hAnsi="Arial" w:cs="Arial"/>
        </w:rPr>
        <w:t xml:space="preserve"> r</w:t>
      </w:r>
      <w:r w:rsidR="000841C2">
        <w:rPr>
          <w:rFonts w:ascii="Arial" w:hAnsi="Arial" w:cs="Arial"/>
        </w:rPr>
        <w:t>ô</w:t>
      </w:r>
      <w:r>
        <w:rPr>
          <w:rFonts w:ascii="Arial" w:hAnsi="Arial" w:cs="Arial"/>
        </w:rPr>
        <w:t xml:space="preserve">le </w:t>
      </w:r>
      <w:r w:rsidR="00E171AB">
        <w:rPr>
          <w:rFonts w:ascii="Arial" w:hAnsi="Arial" w:cs="Arial"/>
        </w:rPr>
        <w:t xml:space="preserve">prédominant du Conseil, </w:t>
      </w:r>
      <w:r w:rsidR="00C36E91">
        <w:rPr>
          <w:rFonts w:ascii="Arial" w:hAnsi="Arial" w:cs="Arial"/>
        </w:rPr>
        <w:t xml:space="preserve">plus encore que </w:t>
      </w:r>
      <w:r w:rsidR="00E171AB">
        <w:rPr>
          <w:rFonts w:ascii="Arial" w:hAnsi="Arial" w:cs="Arial"/>
        </w:rPr>
        <w:t>de la Commission européenne</w:t>
      </w:r>
      <w:r w:rsidR="00C36E91">
        <w:rPr>
          <w:rFonts w:ascii="Arial" w:hAnsi="Arial" w:cs="Arial"/>
        </w:rPr>
        <w:t xml:space="preserve"> elle-même</w:t>
      </w:r>
      <w:r w:rsidR="00E171AB">
        <w:rPr>
          <w:rFonts w:ascii="Arial" w:hAnsi="Arial" w:cs="Arial"/>
        </w:rPr>
        <w:t>.</w:t>
      </w:r>
    </w:p>
    <w:p w14:paraId="00528FC8" w14:textId="233FEF57" w:rsidR="00F9604B" w:rsidRPr="00315BDB" w:rsidRDefault="00E26BB5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Aux</w:t>
      </w:r>
      <w:r w:rsidR="00452FA2">
        <w:rPr>
          <w:rFonts w:ascii="Arial" w:hAnsi="Arial" w:cs="Arial"/>
        </w:rPr>
        <w:t xml:space="preserve"> Parlements nationaux, conformément aux Traités</w:t>
      </w:r>
      <w:r>
        <w:rPr>
          <w:rFonts w:ascii="Arial" w:hAnsi="Arial" w:cs="Arial"/>
        </w:rPr>
        <w:t xml:space="preserve">, une compétence spécifique </w:t>
      </w:r>
      <w:r w:rsidR="00C36E91">
        <w:rPr>
          <w:rFonts w:ascii="Arial" w:hAnsi="Arial" w:cs="Arial"/>
        </w:rPr>
        <w:t xml:space="preserve">est reconnue </w:t>
      </w:r>
      <w:r>
        <w:rPr>
          <w:rFonts w:ascii="Arial" w:hAnsi="Arial" w:cs="Arial"/>
        </w:rPr>
        <w:t xml:space="preserve">dans les cas d’accords de type mixte </w:t>
      </w:r>
      <w:r w:rsidR="00A42CF5">
        <w:rPr>
          <w:rFonts w:ascii="Arial" w:hAnsi="Arial" w:cs="Arial"/>
        </w:rPr>
        <w:t xml:space="preserve">car </w:t>
      </w:r>
      <w:r w:rsidR="00C36E91">
        <w:rPr>
          <w:rFonts w:ascii="Arial" w:hAnsi="Arial" w:cs="Arial"/>
        </w:rPr>
        <w:t>ayant</w:t>
      </w:r>
      <w:r w:rsidR="00A42CF5">
        <w:rPr>
          <w:rFonts w:ascii="Arial" w:hAnsi="Arial" w:cs="Arial"/>
        </w:rPr>
        <w:t xml:space="preserve"> pour objet des matières de compétence partagée entre l’Union et les États membres.</w:t>
      </w:r>
      <w:r w:rsidR="00F9604B" w:rsidRPr="00315BDB">
        <w:rPr>
          <w:rFonts w:ascii="Arial" w:hAnsi="Arial" w:cs="Arial"/>
        </w:rPr>
        <w:t xml:space="preserve"> </w:t>
      </w:r>
      <w:r w:rsidR="00A42CF5">
        <w:rPr>
          <w:rFonts w:ascii="Arial" w:hAnsi="Arial" w:cs="Arial"/>
        </w:rPr>
        <w:t xml:space="preserve">En effet, dans ces cas, pour qu’un Traité entre en vigueur </w:t>
      </w:r>
      <w:r w:rsidR="008C1CBD">
        <w:rPr>
          <w:rFonts w:ascii="Arial" w:hAnsi="Arial" w:cs="Arial"/>
        </w:rPr>
        <w:t>il faut qu’il soit ratifié par l’UE ainsi que par les États membres.</w:t>
      </w:r>
    </w:p>
    <w:p w14:paraId="7A62A832" w14:textId="093BD3F9" w:rsidR="00F9604B" w:rsidRPr="00315BDB" w:rsidRDefault="008C1CBD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À cet égard</w:t>
      </w:r>
      <w:r w:rsidR="00C36E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rappelons l’initiative</w:t>
      </w:r>
      <w:r w:rsidR="00A23C5D">
        <w:rPr>
          <w:rFonts w:ascii="Arial" w:hAnsi="Arial" w:cs="Arial"/>
        </w:rPr>
        <w:t xml:space="preserve"> prise en juin </w:t>
      </w:r>
      <w:r w:rsidR="00F9604B" w:rsidRPr="00315BDB">
        <w:rPr>
          <w:rFonts w:ascii="Arial" w:hAnsi="Arial" w:cs="Arial"/>
        </w:rPr>
        <w:t xml:space="preserve">2014 </w:t>
      </w:r>
      <w:r w:rsidR="00A23C5D">
        <w:rPr>
          <w:rFonts w:ascii="Arial" w:hAnsi="Arial" w:cs="Arial"/>
        </w:rPr>
        <w:t xml:space="preserve">par les </w:t>
      </w:r>
      <w:r w:rsidR="00C36E91">
        <w:rPr>
          <w:rFonts w:ascii="Arial" w:hAnsi="Arial" w:cs="Arial"/>
        </w:rPr>
        <w:t>p</w:t>
      </w:r>
      <w:r w:rsidR="00A23C5D">
        <w:rPr>
          <w:rFonts w:ascii="Arial" w:hAnsi="Arial" w:cs="Arial"/>
        </w:rPr>
        <w:t xml:space="preserve">résidents des Commissions </w:t>
      </w:r>
      <w:r w:rsidR="00C36E91">
        <w:rPr>
          <w:rFonts w:ascii="Arial" w:hAnsi="Arial" w:cs="Arial"/>
        </w:rPr>
        <w:t xml:space="preserve">des </w:t>
      </w:r>
      <w:r w:rsidR="00A23C5D">
        <w:rPr>
          <w:rFonts w:ascii="Arial" w:hAnsi="Arial" w:cs="Arial"/>
        </w:rPr>
        <w:t xml:space="preserve">affaires européennes et </w:t>
      </w:r>
      <w:r w:rsidR="00C36E91">
        <w:rPr>
          <w:rFonts w:ascii="Arial" w:hAnsi="Arial" w:cs="Arial"/>
        </w:rPr>
        <w:t xml:space="preserve">du </w:t>
      </w:r>
      <w:r w:rsidR="00A23C5D">
        <w:rPr>
          <w:rFonts w:ascii="Arial" w:hAnsi="Arial" w:cs="Arial"/>
        </w:rPr>
        <w:t xml:space="preserve">commerce extérieur de la Chambre basse </w:t>
      </w:r>
      <w:r w:rsidR="00CF2AC6">
        <w:rPr>
          <w:rFonts w:ascii="Arial" w:hAnsi="Arial" w:cs="Arial"/>
        </w:rPr>
        <w:t>des P</w:t>
      </w:r>
      <w:r w:rsidR="00A23C5D">
        <w:rPr>
          <w:rFonts w:ascii="Arial" w:hAnsi="Arial" w:cs="Arial"/>
        </w:rPr>
        <w:t xml:space="preserve">ays-Bas qui, dans une lettre </w:t>
      </w:r>
      <w:r w:rsidR="003707AC">
        <w:rPr>
          <w:rFonts w:ascii="Arial" w:hAnsi="Arial" w:cs="Arial"/>
        </w:rPr>
        <w:t xml:space="preserve">signée par 19 </w:t>
      </w:r>
      <w:r w:rsidR="00DA42D6">
        <w:rPr>
          <w:rFonts w:ascii="Arial" w:hAnsi="Arial" w:cs="Arial"/>
        </w:rPr>
        <w:t>p</w:t>
      </w:r>
      <w:r w:rsidR="003707AC">
        <w:rPr>
          <w:rFonts w:ascii="Arial" w:hAnsi="Arial" w:cs="Arial"/>
        </w:rPr>
        <w:t>résidents</w:t>
      </w:r>
      <w:r w:rsidR="0046078B">
        <w:rPr>
          <w:rFonts w:ascii="Arial" w:hAnsi="Arial" w:cs="Arial"/>
        </w:rPr>
        <w:t xml:space="preserve"> de Commissions homologues des P</w:t>
      </w:r>
      <w:r w:rsidR="003707AC">
        <w:rPr>
          <w:rFonts w:ascii="Arial" w:hAnsi="Arial" w:cs="Arial"/>
        </w:rPr>
        <w:t xml:space="preserve">arlements de l’UE, </w:t>
      </w:r>
      <w:r w:rsidR="00DA42D6">
        <w:rPr>
          <w:rFonts w:ascii="Arial" w:hAnsi="Arial" w:cs="Arial"/>
        </w:rPr>
        <w:t>ont</w:t>
      </w:r>
      <w:r w:rsidR="003707AC">
        <w:rPr>
          <w:rFonts w:ascii="Arial" w:hAnsi="Arial" w:cs="Arial"/>
        </w:rPr>
        <w:t xml:space="preserve"> demandé à la Commission européenne</w:t>
      </w:r>
      <w:r w:rsidR="00A23C5D">
        <w:rPr>
          <w:rFonts w:ascii="Arial" w:hAnsi="Arial" w:cs="Arial"/>
        </w:rPr>
        <w:t xml:space="preserve"> </w:t>
      </w:r>
      <w:r w:rsidR="00272A54">
        <w:rPr>
          <w:rFonts w:ascii="Arial" w:hAnsi="Arial" w:cs="Arial"/>
        </w:rPr>
        <w:t>que les accords de libre</w:t>
      </w:r>
      <w:r w:rsidR="000841C2">
        <w:rPr>
          <w:rFonts w:ascii="Arial" w:hAnsi="Arial" w:cs="Arial"/>
        </w:rPr>
        <w:t>-</w:t>
      </w:r>
      <w:r w:rsidR="00272A54">
        <w:rPr>
          <w:rFonts w:ascii="Arial" w:hAnsi="Arial" w:cs="Arial"/>
        </w:rPr>
        <w:t xml:space="preserve">échange en cours de négociation </w:t>
      </w:r>
      <w:r w:rsidR="00F9604B" w:rsidRPr="00315BDB">
        <w:rPr>
          <w:rFonts w:ascii="Arial" w:hAnsi="Arial" w:cs="Arial"/>
        </w:rPr>
        <w:t>(</w:t>
      </w:r>
      <w:r w:rsidR="00E6500F">
        <w:rPr>
          <w:rFonts w:ascii="Arial" w:hAnsi="Arial" w:cs="Arial"/>
        </w:rPr>
        <w:t xml:space="preserve">les </w:t>
      </w:r>
      <w:r w:rsidR="00B27432">
        <w:rPr>
          <w:rFonts w:ascii="Arial" w:hAnsi="Arial" w:cs="Arial"/>
        </w:rPr>
        <w:t xml:space="preserve">déjà cités </w:t>
      </w:r>
      <w:r w:rsidR="00F9604B" w:rsidRPr="00315BDB">
        <w:rPr>
          <w:rFonts w:ascii="Arial" w:hAnsi="Arial" w:cs="Arial"/>
        </w:rPr>
        <w:t>TTIP e</w:t>
      </w:r>
      <w:r w:rsidR="00E6500F">
        <w:rPr>
          <w:rFonts w:ascii="Arial" w:hAnsi="Arial" w:cs="Arial"/>
        </w:rPr>
        <w:t>t</w:t>
      </w:r>
      <w:r w:rsidR="00F9604B" w:rsidRPr="00315BDB">
        <w:rPr>
          <w:rFonts w:ascii="Arial" w:hAnsi="Arial" w:cs="Arial"/>
        </w:rPr>
        <w:t xml:space="preserve"> </w:t>
      </w:r>
      <w:r w:rsidR="00E6500F">
        <w:rPr>
          <w:rFonts w:ascii="Arial" w:hAnsi="Arial" w:cs="Arial"/>
        </w:rPr>
        <w:t>AECG</w:t>
      </w:r>
      <w:r w:rsidR="00F9604B" w:rsidRPr="00315BDB">
        <w:rPr>
          <w:rFonts w:ascii="Arial" w:hAnsi="Arial" w:cs="Arial"/>
        </w:rPr>
        <w:t xml:space="preserve">) </w:t>
      </w:r>
      <w:r w:rsidR="00B27432">
        <w:rPr>
          <w:rFonts w:ascii="Arial" w:hAnsi="Arial" w:cs="Arial"/>
        </w:rPr>
        <w:t xml:space="preserve">soient définis comme accords mixtes, en vertu des matières concernées, en prévoyant </w:t>
      </w:r>
      <w:r w:rsidR="00C24975">
        <w:rPr>
          <w:rFonts w:ascii="Arial" w:hAnsi="Arial" w:cs="Arial"/>
        </w:rPr>
        <w:t xml:space="preserve">ainsi </w:t>
      </w:r>
      <w:r w:rsidR="00360232">
        <w:rPr>
          <w:rFonts w:ascii="Arial" w:hAnsi="Arial" w:cs="Arial"/>
        </w:rPr>
        <w:t>la ratification de la part des P</w:t>
      </w:r>
      <w:r w:rsidR="00C24975">
        <w:rPr>
          <w:rFonts w:ascii="Arial" w:hAnsi="Arial" w:cs="Arial"/>
        </w:rPr>
        <w:t>arlements nationaux.</w:t>
      </w:r>
    </w:p>
    <w:p w14:paraId="35DB7D61" w14:textId="35738450" w:rsidR="00F9604B" w:rsidRPr="009C7C87" w:rsidRDefault="00C24975" w:rsidP="00F9604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Dans la réponse envoyée le</w:t>
      </w:r>
      <w:r w:rsidR="00F9604B" w:rsidRPr="009C7C87">
        <w:rPr>
          <w:rFonts w:ascii="Arial" w:hAnsi="Arial" w:cs="Arial"/>
          <w:sz w:val="20"/>
          <w:szCs w:val="20"/>
        </w:rPr>
        <w:t xml:space="preserve"> 16 o</w:t>
      </w:r>
      <w:r>
        <w:rPr>
          <w:rFonts w:ascii="Arial" w:hAnsi="Arial" w:cs="Arial"/>
          <w:sz w:val="20"/>
          <w:szCs w:val="20"/>
        </w:rPr>
        <w:t>c</w:t>
      </w:r>
      <w:r w:rsidR="00F9604B" w:rsidRPr="009C7C87">
        <w:rPr>
          <w:rFonts w:ascii="Arial" w:hAnsi="Arial" w:cs="Arial"/>
          <w:sz w:val="20"/>
          <w:szCs w:val="20"/>
        </w:rPr>
        <w:t xml:space="preserve">tobre 2014 </w:t>
      </w:r>
      <w:r w:rsidR="0046078B">
        <w:rPr>
          <w:rFonts w:ascii="Arial" w:hAnsi="Arial" w:cs="Arial"/>
          <w:sz w:val="20"/>
          <w:szCs w:val="20"/>
        </w:rPr>
        <w:t>par le v</w:t>
      </w:r>
      <w:r>
        <w:rPr>
          <w:rFonts w:ascii="Arial" w:hAnsi="Arial" w:cs="Arial"/>
          <w:sz w:val="20"/>
          <w:szCs w:val="20"/>
        </w:rPr>
        <w:t>ice-président de la Commission de l’époque</w:t>
      </w:r>
      <w:r w:rsidR="00F9604B" w:rsidRPr="009C7C87">
        <w:rPr>
          <w:rFonts w:ascii="Arial" w:hAnsi="Arial" w:cs="Arial"/>
          <w:sz w:val="20"/>
          <w:szCs w:val="20"/>
        </w:rPr>
        <w:t xml:space="preserve">, Maroš Šefčovič, </w:t>
      </w:r>
      <w:r w:rsidR="00297593">
        <w:rPr>
          <w:rFonts w:ascii="Arial" w:hAnsi="Arial" w:cs="Arial"/>
          <w:sz w:val="20"/>
          <w:szCs w:val="20"/>
        </w:rPr>
        <w:t xml:space="preserve">aux Présidents des Chambres signataires, il était rappelé tout d’abord que la nature de l’accord peut </w:t>
      </w:r>
      <w:r w:rsidR="000841C2">
        <w:rPr>
          <w:rFonts w:ascii="Arial" w:hAnsi="Arial" w:cs="Arial"/>
          <w:sz w:val="20"/>
          <w:szCs w:val="20"/>
        </w:rPr>
        <w:t>ê</w:t>
      </w:r>
      <w:r w:rsidR="00297593">
        <w:rPr>
          <w:rFonts w:ascii="Arial" w:hAnsi="Arial" w:cs="Arial"/>
          <w:sz w:val="20"/>
          <w:szCs w:val="20"/>
        </w:rPr>
        <w:t>tre déterminée avec certitude seulement à la cl</w:t>
      </w:r>
      <w:r w:rsidR="000841C2">
        <w:rPr>
          <w:rFonts w:ascii="Arial" w:hAnsi="Arial" w:cs="Arial"/>
          <w:sz w:val="20"/>
          <w:szCs w:val="20"/>
        </w:rPr>
        <w:t>ô</w:t>
      </w:r>
      <w:r w:rsidR="00297593">
        <w:rPr>
          <w:rFonts w:ascii="Arial" w:hAnsi="Arial" w:cs="Arial"/>
          <w:sz w:val="20"/>
          <w:szCs w:val="20"/>
        </w:rPr>
        <w:t>ture des négociations</w:t>
      </w:r>
      <w:r w:rsidR="004E41F8">
        <w:rPr>
          <w:rFonts w:ascii="Arial" w:hAnsi="Arial" w:cs="Arial"/>
          <w:sz w:val="20"/>
          <w:szCs w:val="20"/>
        </w:rPr>
        <w:t xml:space="preserve">, </w:t>
      </w:r>
      <w:r w:rsidR="00B760A8">
        <w:rPr>
          <w:rFonts w:ascii="Arial" w:hAnsi="Arial" w:cs="Arial"/>
          <w:sz w:val="20"/>
          <w:szCs w:val="20"/>
        </w:rPr>
        <w:t xml:space="preserve">lorsque le contenu </w:t>
      </w:r>
      <w:r w:rsidR="00524F40">
        <w:rPr>
          <w:rFonts w:ascii="Arial" w:hAnsi="Arial" w:cs="Arial"/>
          <w:sz w:val="20"/>
          <w:szCs w:val="20"/>
        </w:rPr>
        <w:t xml:space="preserve">a été </w:t>
      </w:r>
      <w:r w:rsidR="00B760A8">
        <w:rPr>
          <w:rFonts w:ascii="Arial" w:hAnsi="Arial" w:cs="Arial"/>
          <w:sz w:val="20"/>
          <w:szCs w:val="20"/>
        </w:rPr>
        <w:t xml:space="preserve">défini. Deuxièmement, on soulignait dans </w:t>
      </w:r>
      <w:r w:rsidR="00186915">
        <w:rPr>
          <w:rFonts w:ascii="Arial" w:hAnsi="Arial" w:cs="Arial"/>
          <w:sz w:val="20"/>
          <w:szCs w:val="20"/>
        </w:rPr>
        <w:t>cette</w:t>
      </w:r>
      <w:r w:rsidR="00B760A8">
        <w:rPr>
          <w:rFonts w:ascii="Arial" w:hAnsi="Arial" w:cs="Arial"/>
          <w:sz w:val="20"/>
          <w:szCs w:val="20"/>
        </w:rPr>
        <w:t xml:space="preserve"> lettre que les Parlements nationaux disposent de </w:t>
      </w:r>
      <w:r w:rsidR="00524F40">
        <w:rPr>
          <w:rFonts w:ascii="Arial" w:hAnsi="Arial" w:cs="Arial"/>
          <w:sz w:val="20"/>
          <w:szCs w:val="20"/>
        </w:rPr>
        <w:t>plusieurs outils</w:t>
      </w:r>
      <w:r w:rsidR="00B760A8">
        <w:rPr>
          <w:rFonts w:ascii="Arial" w:hAnsi="Arial" w:cs="Arial"/>
          <w:sz w:val="20"/>
          <w:szCs w:val="20"/>
        </w:rPr>
        <w:t xml:space="preserve"> pour exercer un contrôle sur l’évolution des négociations</w:t>
      </w:r>
      <w:r w:rsidR="00F9604B" w:rsidRPr="009C7C87">
        <w:rPr>
          <w:rFonts w:ascii="Arial" w:hAnsi="Arial" w:cs="Arial"/>
          <w:sz w:val="20"/>
          <w:szCs w:val="20"/>
        </w:rPr>
        <w:t xml:space="preserve">. </w:t>
      </w:r>
      <w:r w:rsidR="00303F40">
        <w:rPr>
          <w:rFonts w:ascii="Arial" w:hAnsi="Arial" w:cs="Arial"/>
          <w:sz w:val="20"/>
          <w:szCs w:val="20"/>
        </w:rPr>
        <w:t>Dans la conclusion de la lettre l’on exprimait la conviction de la Commission qu’un débat</w:t>
      </w:r>
      <w:r w:rsidR="00524F40">
        <w:rPr>
          <w:rFonts w:ascii="Arial" w:hAnsi="Arial" w:cs="Arial"/>
          <w:sz w:val="20"/>
          <w:szCs w:val="20"/>
        </w:rPr>
        <w:t xml:space="preserve"> étoffé</w:t>
      </w:r>
      <w:r w:rsidR="00303F40">
        <w:rPr>
          <w:rFonts w:ascii="Arial" w:hAnsi="Arial" w:cs="Arial"/>
          <w:sz w:val="20"/>
          <w:szCs w:val="20"/>
        </w:rPr>
        <w:t xml:space="preserve"> des Parlements nationaux sur des négociations importantes </w:t>
      </w:r>
      <w:r w:rsidR="00524F40">
        <w:rPr>
          <w:rFonts w:ascii="Arial" w:hAnsi="Arial" w:cs="Arial"/>
          <w:sz w:val="20"/>
          <w:szCs w:val="20"/>
        </w:rPr>
        <w:t>est</w:t>
      </w:r>
      <w:r w:rsidR="00303F40">
        <w:rPr>
          <w:rFonts w:ascii="Arial" w:hAnsi="Arial" w:cs="Arial"/>
          <w:sz w:val="20"/>
          <w:szCs w:val="20"/>
        </w:rPr>
        <w:t xml:space="preserve"> un élément positif et l’on manifestait la disponibilité à fournir des informations et à participer, le cas échéant, à ces débats.</w:t>
      </w:r>
    </w:p>
    <w:p w14:paraId="4065B3CD" w14:textId="44A25B74" w:rsidR="00F9604B" w:rsidRPr="00315BDB" w:rsidRDefault="00473C37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faut considérer</w:t>
      </w:r>
      <w:r w:rsidR="00524F40">
        <w:rPr>
          <w:rFonts w:ascii="Arial" w:hAnsi="Arial" w:cs="Arial"/>
        </w:rPr>
        <w:t>, par ailleurs,</w:t>
      </w:r>
      <w:r>
        <w:rPr>
          <w:rFonts w:ascii="Arial" w:hAnsi="Arial" w:cs="Arial"/>
        </w:rPr>
        <w:t xml:space="preserve"> que les </w:t>
      </w:r>
      <w:r w:rsidR="00567FCF">
        <w:rPr>
          <w:rFonts w:ascii="Arial" w:hAnsi="Arial" w:cs="Arial"/>
        </w:rPr>
        <w:t xml:space="preserve">procédures d’examen des mesures de ratification de traités internationaux ne prévoient pas la possibilité de modifier les contenus de ceux-ci </w:t>
      </w:r>
      <w:r w:rsidR="004B0BCC">
        <w:rPr>
          <w:rFonts w:ascii="Arial" w:hAnsi="Arial" w:cs="Arial"/>
        </w:rPr>
        <w:t>p</w:t>
      </w:r>
      <w:r w:rsidR="00E11754">
        <w:rPr>
          <w:rFonts w:ascii="Arial" w:hAnsi="Arial" w:cs="Arial"/>
        </w:rPr>
        <w:t>a</w:t>
      </w:r>
      <w:r w:rsidR="004B0BCC">
        <w:rPr>
          <w:rFonts w:ascii="Arial" w:hAnsi="Arial" w:cs="Arial"/>
        </w:rPr>
        <w:t>r le biais d’amendements ponctuels</w:t>
      </w:r>
      <w:r w:rsidR="00524F40">
        <w:rPr>
          <w:rFonts w:ascii="Arial" w:hAnsi="Arial" w:cs="Arial"/>
        </w:rPr>
        <w:t> ;</w:t>
      </w:r>
      <w:r w:rsidR="004B0BCC">
        <w:rPr>
          <w:rFonts w:ascii="Arial" w:hAnsi="Arial" w:cs="Arial"/>
        </w:rPr>
        <w:t xml:space="preserve"> par conséquent, de fait, les prérogatives parlementaires se traduisent au mieux dans la faculté de ne pas autoriser la ratification : substantiellement, il s’agit d’un r</w:t>
      </w:r>
      <w:r w:rsidR="006442B0">
        <w:rPr>
          <w:rFonts w:ascii="Arial" w:hAnsi="Arial" w:cs="Arial"/>
        </w:rPr>
        <w:t>ô</w:t>
      </w:r>
      <w:r w:rsidR="004B0BCC">
        <w:rPr>
          <w:rFonts w:ascii="Arial" w:hAnsi="Arial" w:cs="Arial"/>
        </w:rPr>
        <w:t xml:space="preserve">le qui se borne à l’approbation ou </w:t>
      </w:r>
      <w:r w:rsidR="00DF05EF">
        <w:rPr>
          <w:rFonts w:ascii="Arial" w:hAnsi="Arial" w:cs="Arial"/>
        </w:rPr>
        <w:t>au rejet du texte.</w:t>
      </w:r>
    </w:p>
    <w:p w14:paraId="18AF96D7" w14:textId="26896244" w:rsidR="00F9604B" w:rsidRPr="00315BDB" w:rsidRDefault="00E11754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Il reste naturellement</w:t>
      </w:r>
      <w:r w:rsidR="00AE6C6E">
        <w:rPr>
          <w:rFonts w:ascii="Arial" w:hAnsi="Arial" w:cs="Arial"/>
        </w:rPr>
        <w:t xml:space="preserve"> la possibilité de se servir, en plus des procédures d’information sur l’évolution des négociations, des</w:t>
      </w:r>
      <w:r>
        <w:rPr>
          <w:rFonts w:ascii="Arial" w:hAnsi="Arial" w:cs="Arial"/>
        </w:rPr>
        <w:t xml:space="preserve"> différents instrument</w:t>
      </w:r>
      <w:r w:rsidR="00AE6C6E">
        <w:rPr>
          <w:rFonts w:ascii="Arial" w:hAnsi="Arial" w:cs="Arial"/>
        </w:rPr>
        <w:t xml:space="preserve">s ordinaires qui permettent </w:t>
      </w:r>
      <w:r w:rsidR="001A5A2A">
        <w:rPr>
          <w:rFonts w:ascii="Arial" w:hAnsi="Arial" w:cs="Arial"/>
        </w:rPr>
        <w:t>aux</w:t>
      </w:r>
      <w:r w:rsidR="00AE6C6E">
        <w:rPr>
          <w:rFonts w:ascii="Arial" w:hAnsi="Arial" w:cs="Arial"/>
        </w:rPr>
        <w:t xml:space="preserve"> Parlement</w:t>
      </w:r>
      <w:r w:rsidR="001A5A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d’accomplir leur</w:t>
      </w:r>
      <w:r w:rsidR="001A5A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A5A2A">
        <w:rPr>
          <w:rFonts w:ascii="Arial" w:hAnsi="Arial" w:cs="Arial"/>
        </w:rPr>
        <w:t>fonctions</w:t>
      </w:r>
      <w:r>
        <w:rPr>
          <w:rFonts w:ascii="Arial" w:hAnsi="Arial" w:cs="Arial"/>
        </w:rPr>
        <w:t xml:space="preserve"> institutionnelle</w:t>
      </w:r>
      <w:r w:rsidR="001A5A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d’orientation et de contrôle vis-à-vis de leurs gouvernements respectifs afin de fournir des </w:t>
      </w:r>
      <w:r w:rsidR="00D344D3">
        <w:rPr>
          <w:rFonts w:ascii="Arial" w:hAnsi="Arial" w:cs="Arial"/>
        </w:rPr>
        <w:t>indications (plus ou moins contraignantes, selon les différents systèmes) dans l’activité que ces gouverneme</w:t>
      </w:r>
      <w:r w:rsidR="003B2EA9">
        <w:rPr>
          <w:rFonts w:ascii="Arial" w:hAnsi="Arial" w:cs="Arial"/>
        </w:rPr>
        <w:t>nts exercent au sein du Conseil</w:t>
      </w:r>
      <w:r w:rsidR="001A5A2A">
        <w:rPr>
          <w:rFonts w:ascii="Arial" w:hAnsi="Arial" w:cs="Arial"/>
        </w:rPr>
        <w:t>.</w:t>
      </w:r>
    </w:p>
    <w:p w14:paraId="233A8801" w14:textId="6ABEB8BE" w:rsidR="00F9604B" w:rsidRPr="00315BDB" w:rsidRDefault="00DF05EF" w:rsidP="00F960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À la lumière de ces éléments, cette sessio</w:t>
      </w:r>
      <w:r w:rsidR="00D9776A">
        <w:rPr>
          <w:rFonts w:ascii="Arial" w:hAnsi="Arial" w:cs="Arial"/>
        </w:rPr>
        <w:t>n pourrait contribuer à dévelop</w:t>
      </w:r>
      <w:r>
        <w:rPr>
          <w:rFonts w:ascii="Arial" w:hAnsi="Arial" w:cs="Arial"/>
        </w:rPr>
        <w:t>p</w:t>
      </w:r>
      <w:r w:rsidR="00D9776A">
        <w:rPr>
          <w:rFonts w:ascii="Arial" w:hAnsi="Arial" w:cs="Arial"/>
        </w:rPr>
        <w:t>e</w:t>
      </w:r>
      <w:r>
        <w:rPr>
          <w:rFonts w:ascii="Arial" w:hAnsi="Arial" w:cs="Arial"/>
        </w:rPr>
        <w:t>r le débat sur les aspects suivants</w:t>
      </w:r>
      <w:r w:rsidR="003D7A59">
        <w:rPr>
          <w:rFonts w:ascii="Arial" w:hAnsi="Arial" w:cs="Arial"/>
        </w:rPr>
        <w:t> :</w:t>
      </w:r>
    </w:p>
    <w:p w14:paraId="1780564C" w14:textId="20B410B7" w:rsidR="00F9604B" w:rsidRPr="00315BDB" w:rsidRDefault="00F96B74" w:rsidP="00F9604B">
      <w:pPr>
        <w:pStyle w:val="Paragrafoelenco"/>
        <w:numPr>
          <w:ilvl w:val="0"/>
          <w:numId w:val="7"/>
        </w:numPr>
        <w:ind w:left="1423" w:hanging="357"/>
        <w:rPr>
          <w:rFonts w:cs="Arial"/>
          <w:szCs w:val="22"/>
        </w:rPr>
      </w:pPr>
      <w:r>
        <w:rPr>
          <w:rFonts w:cs="Arial"/>
          <w:szCs w:val="22"/>
        </w:rPr>
        <w:t>É</w:t>
      </w:r>
      <w:r w:rsidR="00B05B62">
        <w:rPr>
          <w:rFonts w:cs="Arial"/>
          <w:szCs w:val="22"/>
        </w:rPr>
        <w:t>galement sur la base d’un échange d’informations sur les expériences et sur l’état du débat</w:t>
      </w:r>
      <w:r w:rsidR="00C51E00">
        <w:rPr>
          <w:rFonts w:cs="Arial"/>
          <w:szCs w:val="22"/>
        </w:rPr>
        <w:t xml:space="preserve"> en la matière dans les différents Parlements, estime</w:t>
      </w:r>
      <w:r w:rsidR="00BB1B54">
        <w:rPr>
          <w:rFonts w:cs="Arial"/>
          <w:szCs w:val="22"/>
        </w:rPr>
        <w:t>-t-on adéquats et satisfaisants, et dans quelle mesure,</w:t>
      </w:r>
      <w:r w:rsidR="00C51E00">
        <w:rPr>
          <w:rFonts w:cs="Arial"/>
          <w:szCs w:val="22"/>
        </w:rPr>
        <w:t xml:space="preserve"> les instruments et les procédures déjà disponibles pour un suivi </w:t>
      </w:r>
      <w:r w:rsidR="00747C90">
        <w:rPr>
          <w:rFonts w:cs="Arial"/>
          <w:szCs w:val="22"/>
        </w:rPr>
        <w:t xml:space="preserve">précis et rapide </w:t>
      </w:r>
      <w:r w:rsidR="00EB7AC8">
        <w:rPr>
          <w:rFonts w:cs="Arial"/>
          <w:szCs w:val="22"/>
        </w:rPr>
        <w:t>du déroulement</w:t>
      </w:r>
      <w:r w:rsidR="00747C90">
        <w:rPr>
          <w:rFonts w:cs="Arial"/>
          <w:szCs w:val="22"/>
        </w:rPr>
        <w:t xml:space="preserve"> des négociations </w:t>
      </w:r>
      <w:r w:rsidR="00231711">
        <w:rPr>
          <w:rFonts w:cs="Arial"/>
          <w:szCs w:val="22"/>
        </w:rPr>
        <w:t>concernan</w:t>
      </w:r>
      <w:r w:rsidR="00BB1B54">
        <w:rPr>
          <w:rFonts w:cs="Arial"/>
          <w:szCs w:val="22"/>
        </w:rPr>
        <w:t xml:space="preserve">t des traités </w:t>
      </w:r>
      <w:r w:rsidR="00EB7AC8">
        <w:rPr>
          <w:rFonts w:cs="Arial"/>
          <w:szCs w:val="22"/>
        </w:rPr>
        <w:t>relevant d</w:t>
      </w:r>
      <w:r w:rsidR="00231711">
        <w:rPr>
          <w:rFonts w:cs="Arial"/>
          <w:szCs w:val="22"/>
        </w:rPr>
        <w:t>es compétences de l’UE et des États membres et qui rev</w:t>
      </w:r>
      <w:r w:rsidR="006442B0">
        <w:rPr>
          <w:rFonts w:cs="Arial"/>
          <w:szCs w:val="22"/>
        </w:rPr>
        <w:t>ê</w:t>
      </w:r>
      <w:r w:rsidR="00231711">
        <w:rPr>
          <w:rFonts w:cs="Arial"/>
          <w:szCs w:val="22"/>
        </w:rPr>
        <w:t xml:space="preserve">tent une importance particulière, </w:t>
      </w:r>
      <w:r w:rsidR="00EB7AC8">
        <w:rPr>
          <w:rFonts w:cs="Arial"/>
          <w:szCs w:val="22"/>
        </w:rPr>
        <w:t>à cause des domaines concerné</w:t>
      </w:r>
      <w:r w:rsidR="00231711">
        <w:rPr>
          <w:rFonts w:cs="Arial"/>
          <w:szCs w:val="22"/>
        </w:rPr>
        <w:t xml:space="preserve">s et </w:t>
      </w:r>
      <w:r w:rsidR="00EB7AC8">
        <w:rPr>
          <w:rFonts w:cs="Arial"/>
          <w:szCs w:val="22"/>
        </w:rPr>
        <w:t>d</w:t>
      </w:r>
      <w:r w:rsidR="00231711">
        <w:rPr>
          <w:rFonts w:cs="Arial"/>
          <w:szCs w:val="22"/>
        </w:rPr>
        <w:t>es possibles retombées</w:t>
      </w:r>
      <w:r w:rsidR="00EB7AC8">
        <w:rPr>
          <w:rFonts w:cs="Arial"/>
          <w:szCs w:val="22"/>
        </w:rPr>
        <w:t>,</w:t>
      </w:r>
      <w:r w:rsidR="00231711">
        <w:rPr>
          <w:rFonts w:cs="Arial"/>
          <w:szCs w:val="22"/>
        </w:rPr>
        <w:t xml:space="preserve"> du p</w:t>
      </w:r>
      <w:r w:rsidR="006442B0">
        <w:rPr>
          <w:rFonts w:cs="Arial"/>
          <w:szCs w:val="22"/>
        </w:rPr>
        <w:t>o</w:t>
      </w:r>
      <w:r w:rsidR="00231711">
        <w:rPr>
          <w:rFonts w:cs="Arial"/>
          <w:szCs w:val="22"/>
        </w:rPr>
        <w:t xml:space="preserve">int de vue </w:t>
      </w:r>
      <w:r w:rsidR="00A169BD">
        <w:rPr>
          <w:rFonts w:cs="Arial"/>
          <w:szCs w:val="22"/>
        </w:rPr>
        <w:t>normatif</w:t>
      </w:r>
      <w:r w:rsidR="00231711">
        <w:rPr>
          <w:rFonts w:cs="Arial"/>
          <w:szCs w:val="22"/>
        </w:rPr>
        <w:t xml:space="preserve"> et de l’impact concret ?</w:t>
      </w:r>
    </w:p>
    <w:p w14:paraId="317B6379" w14:textId="7663078C" w:rsidR="00F9604B" w:rsidRPr="00315BDB" w:rsidRDefault="00F96B74" w:rsidP="00F9604B">
      <w:pPr>
        <w:pStyle w:val="Paragrafoelenco"/>
        <w:numPr>
          <w:ilvl w:val="0"/>
          <w:numId w:val="7"/>
        </w:numPr>
        <w:ind w:left="1423" w:hanging="357"/>
        <w:rPr>
          <w:rFonts w:cs="Arial"/>
          <w:szCs w:val="22"/>
        </w:rPr>
      </w:pPr>
      <w:r>
        <w:rPr>
          <w:rFonts w:cs="Arial"/>
          <w:szCs w:val="22"/>
        </w:rPr>
        <w:t>É</w:t>
      </w:r>
      <w:r w:rsidR="007E4378">
        <w:rPr>
          <w:rFonts w:cs="Arial"/>
          <w:szCs w:val="22"/>
        </w:rPr>
        <w:t>galement à la lumière des initiatives récemment adoptées par la Commis</w:t>
      </w:r>
      <w:r w:rsidR="006442B0">
        <w:rPr>
          <w:rFonts w:cs="Arial"/>
          <w:szCs w:val="22"/>
        </w:rPr>
        <w:t>si</w:t>
      </w:r>
      <w:r w:rsidR="00641D20">
        <w:rPr>
          <w:rFonts w:cs="Arial"/>
          <w:szCs w:val="22"/>
        </w:rPr>
        <w:t>on européenne</w:t>
      </w:r>
      <w:r w:rsidR="00A169BD">
        <w:rPr>
          <w:rFonts w:cs="Arial"/>
          <w:szCs w:val="22"/>
        </w:rPr>
        <w:t>,</w:t>
      </w:r>
      <w:r w:rsidR="00641D20">
        <w:rPr>
          <w:rFonts w:cs="Arial"/>
          <w:szCs w:val="22"/>
        </w:rPr>
        <w:t xml:space="preserve"> par le biais du p</w:t>
      </w:r>
      <w:r w:rsidR="007E4378">
        <w:rPr>
          <w:rFonts w:cs="Arial"/>
          <w:szCs w:val="22"/>
        </w:rPr>
        <w:t>remier vice-président</w:t>
      </w:r>
      <w:r w:rsidR="00F9604B" w:rsidRPr="00315BDB">
        <w:rPr>
          <w:rFonts w:cs="Arial"/>
          <w:szCs w:val="22"/>
        </w:rPr>
        <w:t xml:space="preserve"> Timmermans</w:t>
      </w:r>
      <w:r w:rsidR="00A169BD">
        <w:rPr>
          <w:rFonts w:cs="Arial"/>
          <w:szCs w:val="22"/>
        </w:rPr>
        <w:t>,</w:t>
      </w:r>
      <w:r w:rsidR="00F9604B" w:rsidRPr="00315BDB">
        <w:rPr>
          <w:rFonts w:cs="Arial"/>
          <w:szCs w:val="22"/>
        </w:rPr>
        <w:t xml:space="preserve"> </w:t>
      </w:r>
      <w:r w:rsidR="00A169BD">
        <w:rPr>
          <w:rFonts w:cs="Arial"/>
          <w:szCs w:val="22"/>
        </w:rPr>
        <w:t>en vue d’u</w:t>
      </w:r>
      <w:r w:rsidR="00A65AD1">
        <w:rPr>
          <w:rFonts w:cs="Arial"/>
          <w:szCs w:val="22"/>
        </w:rPr>
        <w:t xml:space="preserve">n renforcement de la coopération avec les Parlements nationaux, comment réaliser concrètement l’objectif d’une </w:t>
      </w:r>
      <w:r w:rsidR="00A169BD">
        <w:rPr>
          <w:rFonts w:cs="Arial"/>
          <w:szCs w:val="22"/>
        </w:rPr>
        <w:t xml:space="preserve">actualisation </w:t>
      </w:r>
      <w:r w:rsidR="00A65AD1">
        <w:rPr>
          <w:rFonts w:cs="Arial"/>
          <w:szCs w:val="22"/>
        </w:rPr>
        <w:t>constante et ponctuelle su</w:t>
      </w:r>
      <w:r w:rsidR="00A169BD">
        <w:rPr>
          <w:rFonts w:cs="Arial"/>
          <w:szCs w:val="22"/>
        </w:rPr>
        <w:t xml:space="preserve">r le déroulement des négociations, </w:t>
      </w:r>
      <w:r w:rsidR="00A65AD1">
        <w:rPr>
          <w:rFonts w:cs="Arial"/>
          <w:szCs w:val="22"/>
        </w:rPr>
        <w:t>en valorisant pleinement, dans ce domaine aussi, les potentialités du Traité de Lisbon</w:t>
      </w:r>
      <w:r w:rsidR="006442B0">
        <w:rPr>
          <w:rFonts w:cs="Arial"/>
          <w:szCs w:val="22"/>
        </w:rPr>
        <w:t>n</w:t>
      </w:r>
      <w:r w:rsidR="00A65AD1">
        <w:rPr>
          <w:rFonts w:cs="Arial"/>
          <w:szCs w:val="22"/>
        </w:rPr>
        <w:t>e et d</w:t>
      </w:r>
      <w:r w:rsidR="00DF0DC6">
        <w:rPr>
          <w:rFonts w:cs="Arial"/>
          <w:szCs w:val="22"/>
        </w:rPr>
        <w:t xml:space="preserve">u protocole </w:t>
      </w:r>
      <w:r w:rsidR="00D30FE2">
        <w:rPr>
          <w:rFonts w:cs="Arial"/>
          <w:szCs w:val="22"/>
        </w:rPr>
        <w:t>annexé</w:t>
      </w:r>
      <w:r w:rsidR="00DF0DC6">
        <w:rPr>
          <w:rFonts w:cs="Arial"/>
          <w:szCs w:val="22"/>
        </w:rPr>
        <w:t xml:space="preserve"> sur le r</w:t>
      </w:r>
      <w:r w:rsidR="006442B0">
        <w:rPr>
          <w:rFonts w:cs="Arial"/>
          <w:szCs w:val="22"/>
        </w:rPr>
        <w:t>ô</w:t>
      </w:r>
      <w:r w:rsidR="00DF0DC6">
        <w:rPr>
          <w:rFonts w:cs="Arial"/>
          <w:szCs w:val="22"/>
        </w:rPr>
        <w:t>le des Parlements nationaux en ce qui concerne le droit d’information directe de</w:t>
      </w:r>
      <w:r>
        <w:rPr>
          <w:rFonts w:cs="Arial"/>
          <w:szCs w:val="22"/>
        </w:rPr>
        <w:t xml:space="preserve"> ceux-ci de la part des institutions europ</w:t>
      </w:r>
      <w:r w:rsidR="006442B0">
        <w:rPr>
          <w:rFonts w:cs="Arial"/>
          <w:szCs w:val="22"/>
        </w:rPr>
        <w:t>é</w:t>
      </w:r>
      <w:r>
        <w:rPr>
          <w:rFonts w:cs="Arial"/>
          <w:szCs w:val="22"/>
        </w:rPr>
        <w:t>ennes ?</w:t>
      </w:r>
    </w:p>
    <w:p w14:paraId="65A3E5D5" w14:textId="0E7EBD05" w:rsidR="00F9604B" w:rsidRDefault="00D30FE2" w:rsidP="00F9604B">
      <w:pPr>
        <w:pStyle w:val="Paragrafoelenco"/>
        <w:numPr>
          <w:ilvl w:val="0"/>
          <w:numId w:val="7"/>
        </w:numPr>
        <w:ind w:left="1418"/>
        <w:rPr>
          <w:rFonts w:cs="Arial"/>
          <w:szCs w:val="22"/>
        </w:rPr>
      </w:pPr>
      <w:r>
        <w:rPr>
          <w:rFonts w:cs="Arial"/>
          <w:szCs w:val="22"/>
        </w:rPr>
        <w:t>Peut-on</w:t>
      </w:r>
      <w:r w:rsidR="00E228A7">
        <w:rPr>
          <w:rFonts w:cs="Arial"/>
          <w:szCs w:val="22"/>
        </w:rPr>
        <w:t>,</w:t>
      </w:r>
      <w:r w:rsidR="00AA415A">
        <w:rPr>
          <w:rFonts w:cs="Arial"/>
          <w:szCs w:val="22"/>
        </w:rPr>
        <w:t xml:space="preserve"> </w:t>
      </w:r>
      <w:r w:rsidR="00F96B74">
        <w:rPr>
          <w:rFonts w:cs="Arial"/>
          <w:szCs w:val="22"/>
        </w:rPr>
        <w:t xml:space="preserve">et </w:t>
      </w:r>
      <w:r w:rsidR="00E228A7">
        <w:rPr>
          <w:rFonts w:cs="Arial"/>
          <w:szCs w:val="22"/>
        </w:rPr>
        <w:t>de quelle manière,</w:t>
      </w:r>
      <w:r w:rsidR="00F96B74">
        <w:rPr>
          <w:rFonts w:cs="Arial"/>
          <w:szCs w:val="22"/>
        </w:rPr>
        <w:t xml:space="preserve"> cerner, en </w:t>
      </w:r>
      <w:r w:rsidR="00AA415A">
        <w:rPr>
          <w:rFonts w:cs="Arial"/>
          <w:szCs w:val="22"/>
        </w:rPr>
        <w:t>ce</w:t>
      </w:r>
      <w:r w:rsidR="00A169BD">
        <w:rPr>
          <w:rFonts w:cs="Arial"/>
          <w:szCs w:val="22"/>
        </w:rPr>
        <w:t xml:space="preserve"> domaine</w:t>
      </w:r>
      <w:r w:rsidR="00F96B74">
        <w:rPr>
          <w:rFonts w:cs="Arial"/>
          <w:szCs w:val="22"/>
        </w:rPr>
        <w:t>, un terrain exemplaire pour renforce</w:t>
      </w:r>
      <w:r w:rsidR="00A169BD">
        <w:rPr>
          <w:rFonts w:cs="Arial"/>
          <w:szCs w:val="22"/>
        </w:rPr>
        <w:t>r le d</w:t>
      </w:r>
      <w:r w:rsidR="00F96B74">
        <w:rPr>
          <w:rFonts w:cs="Arial"/>
          <w:szCs w:val="22"/>
        </w:rPr>
        <w:t>ialogue politique instauré par la Commission avec les Parlements nationaux</w:t>
      </w:r>
      <w:r w:rsidR="008C3FD9">
        <w:rPr>
          <w:rFonts w:cs="Arial"/>
          <w:szCs w:val="22"/>
        </w:rPr>
        <w:t>,</w:t>
      </w:r>
      <w:r w:rsidR="00F96B74">
        <w:rPr>
          <w:rFonts w:cs="Arial"/>
          <w:szCs w:val="22"/>
        </w:rPr>
        <w:t xml:space="preserve"> </w:t>
      </w:r>
      <w:r w:rsidR="00FE6679">
        <w:rPr>
          <w:rFonts w:cs="Arial"/>
          <w:szCs w:val="22"/>
        </w:rPr>
        <w:t>ainsi que</w:t>
      </w:r>
      <w:r w:rsidR="00F96B74">
        <w:rPr>
          <w:rFonts w:cs="Arial"/>
          <w:szCs w:val="22"/>
        </w:rPr>
        <w:t xml:space="preserve"> pour </w:t>
      </w:r>
      <w:r w:rsidR="00A169BD">
        <w:rPr>
          <w:rFonts w:cs="Arial"/>
          <w:szCs w:val="22"/>
        </w:rPr>
        <w:t>intensifier le dialogue</w:t>
      </w:r>
      <w:r w:rsidR="00AA415A">
        <w:rPr>
          <w:rFonts w:cs="Arial"/>
          <w:szCs w:val="22"/>
        </w:rPr>
        <w:t xml:space="preserve"> entre </w:t>
      </w:r>
      <w:r w:rsidR="00FE6469">
        <w:rPr>
          <w:rFonts w:cs="Arial"/>
          <w:szCs w:val="22"/>
        </w:rPr>
        <w:t>ces derniers</w:t>
      </w:r>
      <w:r w:rsidR="00AA415A">
        <w:rPr>
          <w:rFonts w:cs="Arial"/>
          <w:szCs w:val="22"/>
        </w:rPr>
        <w:t> ?</w:t>
      </w:r>
    </w:p>
    <w:p w14:paraId="78C46D6D" w14:textId="77777777" w:rsidR="00AA415A" w:rsidRPr="00AA415A" w:rsidRDefault="00AA415A" w:rsidP="00AA415A">
      <w:pPr>
        <w:ind w:left="1058"/>
        <w:rPr>
          <w:rFonts w:cs="Arial"/>
        </w:rPr>
      </w:pPr>
    </w:p>
    <w:sectPr w:rsidR="00AA415A" w:rsidRPr="00AA415A" w:rsidSect="00E706A3">
      <w:headerReference w:type="default" r:id="rId9"/>
      <w:footerReference w:type="default" r:id="rId10"/>
      <w:pgSz w:w="11906" w:h="16838" w:code="9"/>
      <w:pgMar w:top="1985" w:right="1985" w:bottom="1985" w:left="198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550D" w14:textId="77777777" w:rsidR="00D30FE2" w:rsidRDefault="00D30FE2" w:rsidP="00E706A3">
      <w:pPr>
        <w:spacing w:after="0" w:line="240" w:lineRule="auto"/>
      </w:pPr>
      <w:r>
        <w:separator/>
      </w:r>
    </w:p>
  </w:endnote>
  <w:endnote w:type="continuationSeparator" w:id="0">
    <w:p w14:paraId="20BB1051" w14:textId="77777777" w:rsidR="00D30FE2" w:rsidRDefault="00D30FE2" w:rsidP="00E7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313027"/>
      <w:docPartObj>
        <w:docPartGallery w:val="Page Numbers (Bottom of Page)"/>
        <w:docPartUnique/>
      </w:docPartObj>
    </w:sdtPr>
    <w:sdtEndPr/>
    <w:sdtContent>
      <w:p w14:paraId="56BE5685" w14:textId="77777777" w:rsidR="00D30FE2" w:rsidRDefault="00D30F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A2314" w14:textId="77777777" w:rsidR="00D30FE2" w:rsidRDefault="00D30F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50427" w14:textId="77777777" w:rsidR="00D30FE2" w:rsidRDefault="00D30FE2" w:rsidP="00E706A3">
      <w:pPr>
        <w:spacing w:after="0" w:line="240" w:lineRule="auto"/>
      </w:pPr>
      <w:r>
        <w:separator/>
      </w:r>
    </w:p>
  </w:footnote>
  <w:footnote w:type="continuationSeparator" w:id="0">
    <w:p w14:paraId="5BA22681" w14:textId="77777777" w:rsidR="00D30FE2" w:rsidRDefault="00D30FE2" w:rsidP="00E706A3">
      <w:pPr>
        <w:spacing w:after="0" w:line="240" w:lineRule="auto"/>
      </w:pPr>
      <w:r>
        <w:continuationSeparator/>
      </w:r>
    </w:p>
  </w:footnote>
  <w:footnote w:id="1">
    <w:p w14:paraId="3789F589" w14:textId="71C2085B" w:rsidR="00D30FE2" w:rsidRPr="00453C31" w:rsidRDefault="00D30FE2" w:rsidP="00C6160A">
      <w:pPr>
        <w:spacing w:line="200" w:lineRule="exact"/>
        <w:jc w:val="both"/>
        <w:rPr>
          <w:sz w:val="20"/>
          <w:szCs w:val="20"/>
        </w:rPr>
      </w:pPr>
      <w:r w:rsidRPr="00453C31"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L’a</w:t>
      </w:r>
      <w:r w:rsidRPr="00453C31">
        <w:rPr>
          <w:sz w:val="20"/>
          <w:szCs w:val="20"/>
        </w:rPr>
        <w:t>ccord sur le commerce de</w:t>
      </w:r>
      <w:r w:rsidR="008E28B8">
        <w:rPr>
          <w:sz w:val="20"/>
          <w:szCs w:val="20"/>
        </w:rPr>
        <w:t>s</w:t>
      </w:r>
      <w:r w:rsidRPr="00453C31">
        <w:rPr>
          <w:sz w:val="20"/>
          <w:szCs w:val="20"/>
        </w:rPr>
        <w:t xml:space="preserve"> services (</w:t>
      </w:r>
      <w:r w:rsidR="008E28B8">
        <w:rPr>
          <w:sz w:val="20"/>
          <w:szCs w:val="20"/>
        </w:rPr>
        <w:t>ACS</w:t>
      </w:r>
      <w:r w:rsidRPr="00453C31">
        <w:rPr>
          <w:sz w:val="20"/>
          <w:szCs w:val="20"/>
        </w:rPr>
        <w:t xml:space="preserve">) est un accord commercial </w:t>
      </w:r>
      <w:r w:rsidR="008E28B8" w:rsidRPr="00453C31">
        <w:rPr>
          <w:sz w:val="20"/>
          <w:szCs w:val="20"/>
        </w:rPr>
        <w:t xml:space="preserve">négocié </w:t>
      </w:r>
      <w:r w:rsidRPr="00453C31">
        <w:rPr>
          <w:sz w:val="20"/>
          <w:szCs w:val="20"/>
        </w:rPr>
        <w:t xml:space="preserve">actuellement </w:t>
      </w:r>
      <w:r w:rsidR="008E28B8">
        <w:rPr>
          <w:sz w:val="20"/>
          <w:szCs w:val="20"/>
        </w:rPr>
        <w:t>par</w:t>
      </w:r>
      <w:r w:rsidRPr="00453C31">
        <w:rPr>
          <w:sz w:val="20"/>
          <w:szCs w:val="20"/>
        </w:rPr>
        <w:t xml:space="preserve"> 23 membres de l’Organisation mondiale du commerce (OMC), </w:t>
      </w:r>
      <w:r w:rsidR="008E28B8">
        <w:rPr>
          <w:sz w:val="20"/>
          <w:szCs w:val="20"/>
        </w:rPr>
        <w:t>dont</w:t>
      </w:r>
      <w:r w:rsidR="0085695B">
        <w:rPr>
          <w:sz w:val="20"/>
          <w:szCs w:val="20"/>
        </w:rPr>
        <w:t xml:space="preserve"> l’UE. L’AECG (Accord économique et c</w:t>
      </w:r>
      <w:r w:rsidRPr="00453C31">
        <w:rPr>
          <w:sz w:val="20"/>
          <w:szCs w:val="20"/>
        </w:rPr>
        <w:t xml:space="preserve">ommercial </w:t>
      </w:r>
      <w:r w:rsidR="0085695B">
        <w:rPr>
          <w:sz w:val="20"/>
          <w:szCs w:val="20"/>
        </w:rPr>
        <w:t>g</w:t>
      </w:r>
      <w:r w:rsidRPr="00453C31">
        <w:rPr>
          <w:sz w:val="20"/>
          <w:szCs w:val="20"/>
        </w:rPr>
        <w:t>lobal) est un accord économique global négocié entre l’UE et le Canada</w:t>
      </w:r>
      <w:r w:rsidR="0085695B">
        <w:rPr>
          <w:sz w:val="20"/>
          <w:szCs w:val="20"/>
        </w:rPr>
        <w:t xml:space="preserve"> et</w:t>
      </w:r>
      <w:r w:rsidRPr="00453C31">
        <w:rPr>
          <w:sz w:val="20"/>
          <w:szCs w:val="20"/>
        </w:rPr>
        <w:t xml:space="preserve"> destiné à abolir 99% des </w:t>
      </w:r>
      <w:r w:rsidR="0085695B">
        <w:rPr>
          <w:sz w:val="20"/>
          <w:szCs w:val="20"/>
        </w:rPr>
        <w:t>droits de</w:t>
      </w:r>
      <w:r w:rsidRPr="00453C31">
        <w:rPr>
          <w:sz w:val="20"/>
          <w:szCs w:val="20"/>
        </w:rPr>
        <w:t xml:space="preserve"> douan</w:t>
      </w:r>
      <w:r w:rsidR="0085695B">
        <w:rPr>
          <w:sz w:val="20"/>
          <w:szCs w:val="20"/>
        </w:rPr>
        <w:t>e</w:t>
      </w:r>
      <w:r w:rsidRPr="00453C3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 </w:t>
      </w:r>
      <w:r w:rsidRPr="00453C31">
        <w:rPr>
          <w:sz w:val="20"/>
          <w:szCs w:val="20"/>
        </w:rPr>
        <w:t>TTIP (</w:t>
      </w:r>
      <w:r>
        <w:rPr>
          <w:sz w:val="20"/>
          <w:szCs w:val="20"/>
        </w:rPr>
        <w:t>Partenariat transatlantique de commerce et d’investissement</w:t>
      </w:r>
      <w:r w:rsidRPr="00453C31">
        <w:rPr>
          <w:sz w:val="20"/>
          <w:szCs w:val="20"/>
        </w:rPr>
        <w:t>)</w:t>
      </w:r>
      <w:r>
        <w:rPr>
          <w:sz w:val="20"/>
          <w:szCs w:val="20"/>
        </w:rPr>
        <w:t xml:space="preserve"> est négocié entre l’</w:t>
      </w:r>
      <w:r w:rsidRPr="00453C31">
        <w:rPr>
          <w:sz w:val="20"/>
          <w:szCs w:val="20"/>
        </w:rPr>
        <w:t>UE e</w:t>
      </w:r>
      <w:r>
        <w:rPr>
          <w:sz w:val="20"/>
          <w:szCs w:val="20"/>
        </w:rPr>
        <w:t>t les</w:t>
      </w:r>
      <w:r w:rsidRPr="00453C31">
        <w:rPr>
          <w:sz w:val="20"/>
          <w:szCs w:val="20"/>
        </w:rPr>
        <w:t xml:space="preserve"> USA e</w:t>
      </w:r>
      <w:r>
        <w:rPr>
          <w:sz w:val="20"/>
          <w:szCs w:val="20"/>
        </w:rPr>
        <w:t xml:space="preserve">t il est destiné à devenir l’accord de </w:t>
      </w:r>
      <w:r w:rsidR="009506A1">
        <w:rPr>
          <w:sz w:val="20"/>
          <w:szCs w:val="20"/>
        </w:rPr>
        <w:t>libre-échange</w:t>
      </w:r>
      <w:r>
        <w:rPr>
          <w:sz w:val="20"/>
          <w:szCs w:val="20"/>
        </w:rPr>
        <w:t xml:space="preserve"> bilatéral international le plus imposant conclu jusqu’à présent.</w:t>
      </w:r>
    </w:p>
  </w:footnote>
  <w:footnote w:id="2">
    <w:p w14:paraId="429D69BA" w14:textId="4F6E4907" w:rsidR="00D30FE2" w:rsidRPr="00485FF7" w:rsidRDefault="00D30FE2" w:rsidP="00C6160A">
      <w:pPr>
        <w:pStyle w:val="Testonotaapidipagina"/>
        <w:spacing w:line="200" w:lineRule="exact"/>
        <w:jc w:val="both"/>
      </w:pPr>
      <w:r>
        <w:rPr>
          <w:rStyle w:val="Rimandonotaapidipagina"/>
        </w:rPr>
        <w:footnoteRef/>
      </w:r>
      <w:r>
        <w:t xml:space="preserve"> Il faut ajouter à cela les initiatives que la Commission a prises, ou qu’elle </w:t>
      </w:r>
      <w:r w:rsidR="009506A1">
        <w:t xml:space="preserve">a décidé </w:t>
      </w:r>
      <w:r>
        <w:t xml:space="preserve">de prendre, concernant le TTIP : rendre publics </w:t>
      </w:r>
      <w:r w:rsidR="0086554F">
        <w:t>un</w:t>
      </w:r>
      <w:r>
        <w:t xml:space="preserve"> plus grand nombre de textes de négociation de l’UE que la Commission partage déjà avec </w:t>
      </w:r>
      <w:r w:rsidR="0086554F">
        <w:t>l</w:t>
      </w:r>
      <w:r>
        <w:t>es États membres et le Parlement européen ;</w:t>
      </w:r>
      <w:r w:rsidRPr="00485FF7">
        <w:t xml:space="preserve"> </w:t>
      </w:r>
      <w:r>
        <w:t>fournir l’accès aux textes sur le</w:t>
      </w:r>
      <w:r w:rsidRPr="00485FF7">
        <w:t xml:space="preserve"> TTIP </w:t>
      </w:r>
      <w:r>
        <w:t xml:space="preserve">à tous les membres du Parlement européen, et pas seulement aux quelques membres sélectionnés, à l’intérieur de la dénommée </w:t>
      </w:r>
      <w:r w:rsidRPr="00485FF7">
        <w:t>“</w:t>
      </w:r>
      <w:r w:rsidRPr="00485FF7">
        <w:rPr>
          <w:i/>
        </w:rPr>
        <w:t>reading room</w:t>
      </w:r>
      <w:r w:rsidRPr="00485FF7">
        <w:t>”</w:t>
      </w:r>
      <w:r>
        <w:t> ;</w:t>
      </w:r>
      <w:r w:rsidRPr="00485FF7">
        <w:t xml:space="preserve"> class</w:t>
      </w:r>
      <w:r>
        <w:t xml:space="preserve">er moins de documents comme </w:t>
      </w:r>
      <w:r w:rsidR="0086554F">
        <w:t xml:space="preserve">étant </w:t>
      </w:r>
      <w:r>
        <w:t>« à accès limité », en les rendant plus facilement accessibles aux membres du Parlement européen en dehors de la</w:t>
      </w:r>
      <w:r w:rsidRPr="00485FF7">
        <w:t xml:space="preserve"> </w:t>
      </w:r>
      <w:r w:rsidRPr="00485FF7">
        <w:rPr>
          <w:i/>
        </w:rPr>
        <w:t>reading room</w:t>
      </w:r>
      <w:r>
        <w:rPr>
          <w:i/>
        </w:rPr>
        <w:t> </w:t>
      </w:r>
      <w:r>
        <w:t>;</w:t>
      </w:r>
      <w:r w:rsidRPr="00485FF7">
        <w:t xml:space="preserve"> pub</w:t>
      </w:r>
      <w:r>
        <w:t xml:space="preserve">lier et modifier régulièrement la liste publique des documents partagés avec le Parlement européen et le Conseil ; organiser des consultations publiques sur les thèmes les plus </w:t>
      </w:r>
      <w:r w:rsidR="0086554F">
        <w:t>délicats</w:t>
      </w:r>
      <w:r>
        <w:t>.</w:t>
      </w:r>
    </w:p>
    <w:p w14:paraId="2BEDE00F" w14:textId="77777777" w:rsidR="00D30FE2" w:rsidRDefault="00D30FE2" w:rsidP="00C6160A">
      <w:pPr>
        <w:pStyle w:val="Testonotaapidipagina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C243D" w14:textId="77777777" w:rsidR="00D30FE2" w:rsidRDefault="00D30FE2" w:rsidP="00BA6580"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23788A6" wp14:editId="578229C9">
          <wp:simplePos x="0" y="0"/>
          <wp:positionH relativeFrom="column">
            <wp:posOffset>-424815</wp:posOffset>
          </wp:positionH>
          <wp:positionV relativeFrom="paragraph">
            <wp:posOffset>-520065</wp:posOffset>
          </wp:positionV>
          <wp:extent cx="6123940" cy="104775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735D1" w14:textId="77777777" w:rsidR="00D30FE2" w:rsidRDefault="00D30FE2">
    <w:pPr>
      <w:pStyle w:val="Intestazione"/>
    </w:pPr>
  </w:p>
  <w:p w14:paraId="3C885DDB" w14:textId="77777777" w:rsidR="00D30FE2" w:rsidRDefault="00D30F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CE4"/>
    <w:multiLevelType w:val="hybridMultilevel"/>
    <w:tmpl w:val="043493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227781"/>
    <w:multiLevelType w:val="hybridMultilevel"/>
    <w:tmpl w:val="DC901050"/>
    <w:lvl w:ilvl="0" w:tplc="797273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E25894"/>
    <w:multiLevelType w:val="hybridMultilevel"/>
    <w:tmpl w:val="466AD7D4"/>
    <w:lvl w:ilvl="0" w:tplc="A54A85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457E34"/>
    <w:multiLevelType w:val="hybridMultilevel"/>
    <w:tmpl w:val="30AE0A76"/>
    <w:lvl w:ilvl="0" w:tplc="A82C0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B007EE"/>
    <w:multiLevelType w:val="hybridMultilevel"/>
    <w:tmpl w:val="9536BBE4"/>
    <w:lvl w:ilvl="0" w:tplc="3334B0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053F4A"/>
    <w:multiLevelType w:val="hybridMultilevel"/>
    <w:tmpl w:val="AD9E2B80"/>
    <w:lvl w:ilvl="0" w:tplc="2760EF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754B6F"/>
    <w:multiLevelType w:val="hybridMultilevel"/>
    <w:tmpl w:val="2DE055EC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A3"/>
    <w:rsid w:val="00003A19"/>
    <w:rsid w:val="00020022"/>
    <w:rsid w:val="000212E3"/>
    <w:rsid w:val="000253D7"/>
    <w:rsid w:val="0003615C"/>
    <w:rsid w:val="000428DC"/>
    <w:rsid w:val="00042B6E"/>
    <w:rsid w:val="00046760"/>
    <w:rsid w:val="00055E29"/>
    <w:rsid w:val="00062EBE"/>
    <w:rsid w:val="000841C2"/>
    <w:rsid w:val="000B0E9F"/>
    <w:rsid w:val="000C5C2B"/>
    <w:rsid w:val="000E25DC"/>
    <w:rsid w:val="000F104E"/>
    <w:rsid w:val="00101799"/>
    <w:rsid w:val="00113E19"/>
    <w:rsid w:val="001272ED"/>
    <w:rsid w:val="001401B0"/>
    <w:rsid w:val="00154893"/>
    <w:rsid w:val="00161B4C"/>
    <w:rsid w:val="001854EE"/>
    <w:rsid w:val="00186915"/>
    <w:rsid w:val="001A0DE0"/>
    <w:rsid w:val="001A5A2A"/>
    <w:rsid w:val="001C6B7A"/>
    <w:rsid w:val="0020558A"/>
    <w:rsid w:val="00231711"/>
    <w:rsid w:val="00251BD4"/>
    <w:rsid w:val="00272A54"/>
    <w:rsid w:val="002743BA"/>
    <w:rsid w:val="002847FD"/>
    <w:rsid w:val="00297593"/>
    <w:rsid w:val="002A62EF"/>
    <w:rsid w:val="002C1FFF"/>
    <w:rsid w:val="002E2383"/>
    <w:rsid w:val="00303F40"/>
    <w:rsid w:val="00311168"/>
    <w:rsid w:val="00315BDB"/>
    <w:rsid w:val="00351722"/>
    <w:rsid w:val="00360232"/>
    <w:rsid w:val="00361585"/>
    <w:rsid w:val="003707AC"/>
    <w:rsid w:val="0038024B"/>
    <w:rsid w:val="0038134B"/>
    <w:rsid w:val="003B2EA9"/>
    <w:rsid w:val="003D7A59"/>
    <w:rsid w:val="00404195"/>
    <w:rsid w:val="004473A5"/>
    <w:rsid w:val="00450269"/>
    <w:rsid w:val="00452FA2"/>
    <w:rsid w:val="00453C31"/>
    <w:rsid w:val="004549C5"/>
    <w:rsid w:val="0046078B"/>
    <w:rsid w:val="00473C37"/>
    <w:rsid w:val="004B0BCC"/>
    <w:rsid w:val="004B57E4"/>
    <w:rsid w:val="004E41F8"/>
    <w:rsid w:val="004F666A"/>
    <w:rsid w:val="004F6846"/>
    <w:rsid w:val="005033A0"/>
    <w:rsid w:val="0051564D"/>
    <w:rsid w:val="005210A3"/>
    <w:rsid w:val="0052445E"/>
    <w:rsid w:val="00524F40"/>
    <w:rsid w:val="005256A3"/>
    <w:rsid w:val="00567FCF"/>
    <w:rsid w:val="005B2209"/>
    <w:rsid w:val="005E36C9"/>
    <w:rsid w:val="00612E37"/>
    <w:rsid w:val="00641D20"/>
    <w:rsid w:val="006442B0"/>
    <w:rsid w:val="0066005D"/>
    <w:rsid w:val="0066052D"/>
    <w:rsid w:val="006733D8"/>
    <w:rsid w:val="00690FA7"/>
    <w:rsid w:val="006D4040"/>
    <w:rsid w:val="007302EA"/>
    <w:rsid w:val="00747C90"/>
    <w:rsid w:val="0075450F"/>
    <w:rsid w:val="00767193"/>
    <w:rsid w:val="0077502B"/>
    <w:rsid w:val="00777537"/>
    <w:rsid w:val="00795EEC"/>
    <w:rsid w:val="007A1364"/>
    <w:rsid w:val="007C1FDB"/>
    <w:rsid w:val="007C6836"/>
    <w:rsid w:val="007E4378"/>
    <w:rsid w:val="007F166D"/>
    <w:rsid w:val="00802739"/>
    <w:rsid w:val="008404A6"/>
    <w:rsid w:val="0085695B"/>
    <w:rsid w:val="0086554F"/>
    <w:rsid w:val="00877BE8"/>
    <w:rsid w:val="0088450D"/>
    <w:rsid w:val="008A7D06"/>
    <w:rsid w:val="008C1CBD"/>
    <w:rsid w:val="008C3FD9"/>
    <w:rsid w:val="008E10A9"/>
    <w:rsid w:val="008E28B8"/>
    <w:rsid w:val="00901E08"/>
    <w:rsid w:val="009055A1"/>
    <w:rsid w:val="009079DB"/>
    <w:rsid w:val="00913201"/>
    <w:rsid w:val="009506A1"/>
    <w:rsid w:val="0097253F"/>
    <w:rsid w:val="009872DE"/>
    <w:rsid w:val="009A391F"/>
    <w:rsid w:val="009B65C6"/>
    <w:rsid w:val="009C7C87"/>
    <w:rsid w:val="009E7C69"/>
    <w:rsid w:val="00A169BD"/>
    <w:rsid w:val="00A23C5D"/>
    <w:rsid w:val="00A42CF5"/>
    <w:rsid w:val="00A43D9D"/>
    <w:rsid w:val="00A568B8"/>
    <w:rsid w:val="00A65AD1"/>
    <w:rsid w:val="00A67490"/>
    <w:rsid w:val="00A71023"/>
    <w:rsid w:val="00A80EE2"/>
    <w:rsid w:val="00AA415A"/>
    <w:rsid w:val="00AE581B"/>
    <w:rsid w:val="00AE6C6E"/>
    <w:rsid w:val="00B00A65"/>
    <w:rsid w:val="00B04725"/>
    <w:rsid w:val="00B05B62"/>
    <w:rsid w:val="00B20483"/>
    <w:rsid w:val="00B27432"/>
    <w:rsid w:val="00B36580"/>
    <w:rsid w:val="00B47C07"/>
    <w:rsid w:val="00B72CD2"/>
    <w:rsid w:val="00B72EA5"/>
    <w:rsid w:val="00B760A8"/>
    <w:rsid w:val="00B87D40"/>
    <w:rsid w:val="00BA6580"/>
    <w:rsid w:val="00BB1B54"/>
    <w:rsid w:val="00BB60F3"/>
    <w:rsid w:val="00BE23E9"/>
    <w:rsid w:val="00C1184F"/>
    <w:rsid w:val="00C24975"/>
    <w:rsid w:val="00C27F97"/>
    <w:rsid w:val="00C36E91"/>
    <w:rsid w:val="00C51E00"/>
    <w:rsid w:val="00C6160A"/>
    <w:rsid w:val="00C9552B"/>
    <w:rsid w:val="00CD0F1E"/>
    <w:rsid w:val="00CD266C"/>
    <w:rsid w:val="00CE148B"/>
    <w:rsid w:val="00CF2AC6"/>
    <w:rsid w:val="00D068EC"/>
    <w:rsid w:val="00D30FE2"/>
    <w:rsid w:val="00D344D3"/>
    <w:rsid w:val="00D40D6E"/>
    <w:rsid w:val="00D42B92"/>
    <w:rsid w:val="00D64774"/>
    <w:rsid w:val="00D67D42"/>
    <w:rsid w:val="00D76CC1"/>
    <w:rsid w:val="00D84DD8"/>
    <w:rsid w:val="00D912F0"/>
    <w:rsid w:val="00D9776A"/>
    <w:rsid w:val="00DA42D6"/>
    <w:rsid w:val="00DC2F02"/>
    <w:rsid w:val="00DC4D35"/>
    <w:rsid w:val="00DC7672"/>
    <w:rsid w:val="00DC7796"/>
    <w:rsid w:val="00DE3CF4"/>
    <w:rsid w:val="00DF05EF"/>
    <w:rsid w:val="00DF0DC6"/>
    <w:rsid w:val="00DF4AC1"/>
    <w:rsid w:val="00E11754"/>
    <w:rsid w:val="00E171AB"/>
    <w:rsid w:val="00E228A7"/>
    <w:rsid w:val="00E26BB5"/>
    <w:rsid w:val="00E335CB"/>
    <w:rsid w:val="00E6500F"/>
    <w:rsid w:val="00E706A3"/>
    <w:rsid w:val="00E87F53"/>
    <w:rsid w:val="00E97266"/>
    <w:rsid w:val="00EB7AC8"/>
    <w:rsid w:val="00EC21D9"/>
    <w:rsid w:val="00F5086C"/>
    <w:rsid w:val="00F522F0"/>
    <w:rsid w:val="00F72EC8"/>
    <w:rsid w:val="00F9604B"/>
    <w:rsid w:val="00F96B74"/>
    <w:rsid w:val="00FA455E"/>
    <w:rsid w:val="00FD1D59"/>
    <w:rsid w:val="00FD395E"/>
    <w:rsid w:val="00FE6469"/>
    <w:rsid w:val="00FE6679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AE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E706A3"/>
    <w:pPr>
      <w:keepNext/>
      <w:spacing w:before="60" w:after="300" w:line="240" w:lineRule="atLeast"/>
      <w:jc w:val="center"/>
      <w:outlineLvl w:val="0"/>
    </w:pPr>
    <w:rPr>
      <w:rFonts w:ascii="Arial" w:eastAsia="Times New Roman" w:hAnsi="Arial" w:cs="Times New Roman"/>
      <w:b/>
      <w:smallCaps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06A3"/>
    <w:rPr>
      <w:rFonts w:ascii="Arial" w:eastAsia="Times New Roman" w:hAnsi="Arial" w:cs="Times New Roman"/>
      <w:b/>
      <w:small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706A3"/>
    <w:pPr>
      <w:tabs>
        <w:tab w:val="center" w:pos="4819"/>
        <w:tab w:val="right" w:pos="9638"/>
      </w:tabs>
      <w:spacing w:before="60" w:after="0" w:line="300" w:lineRule="exact"/>
      <w:ind w:firstLine="28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6A3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706A3"/>
    <w:pPr>
      <w:tabs>
        <w:tab w:val="center" w:pos="4819"/>
        <w:tab w:val="right" w:pos="9638"/>
      </w:tabs>
      <w:spacing w:before="60" w:after="0" w:line="300" w:lineRule="exact"/>
      <w:ind w:firstLine="28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6A3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6A3"/>
    <w:pPr>
      <w:spacing w:before="60" w:after="0" w:line="300" w:lineRule="exact"/>
      <w:ind w:left="720" w:firstLine="284"/>
      <w:contextualSpacing/>
      <w:jc w:val="both"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E706A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0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04B"/>
    <w:rPr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"/>
    <w:semiHidden/>
    <w:rsid w:val="00F9604B"/>
    <w:rPr>
      <w:sz w:val="18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E706A3"/>
    <w:pPr>
      <w:keepNext/>
      <w:spacing w:before="60" w:after="300" w:line="240" w:lineRule="atLeast"/>
      <w:jc w:val="center"/>
      <w:outlineLvl w:val="0"/>
    </w:pPr>
    <w:rPr>
      <w:rFonts w:ascii="Arial" w:eastAsia="Times New Roman" w:hAnsi="Arial" w:cs="Times New Roman"/>
      <w:b/>
      <w:smallCaps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06A3"/>
    <w:rPr>
      <w:rFonts w:ascii="Arial" w:eastAsia="Times New Roman" w:hAnsi="Arial" w:cs="Times New Roman"/>
      <w:b/>
      <w:small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706A3"/>
    <w:pPr>
      <w:tabs>
        <w:tab w:val="center" w:pos="4819"/>
        <w:tab w:val="right" w:pos="9638"/>
      </w:tabs>
      <w:spacing w:before="60" w:after="0" w:line="300" w:lineRule="exact"/>
      <w:ind w:firstLine="28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6A3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706A3"/>
    <w:pPr>
      <w:tabs>
        <w:tab w:val="center" w:pos="4819"/>
        <w:tab w:val="right" w:pos="9638"/>
      </w:tabs>
      <w:spacing w:before="60" w:after="0" w:line="300" w:lineRule="exact"/>
      <w:ind w:firstLine="28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6A3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706A3"/>
    <w:pPr>
      <w:spacing w:before="60" w:after="0" w:line="300" w:lineRule="exact"/>
      <w:ind w:left="720" w:firstLine="284"/>
      <w:contextualSpacing/>
      <w:jc w:val="both"/>
    </w:pPr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E706A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60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604B"/>
    <w:rPr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"/>
    <w:semiHidden/>
    <w:rsid w:val="00F9604B"/>
    <w:rPr>
      <w:sz w:val="18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8F5BE-34FC-4CC8-A3A3-9A39E73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Utente_locale</cp:lastModifiedBy>
  <cp:revision>15</cp:revision>
  <cp:lastPrinted>2015-03-24T14:48:00Z</cp:lastPrinted>
  <dcterms:created xsi:type="dcterms:W3CDTF">2015-04-08T11:33:00Z</dcterms:created>
  <dcterms:modified xsi:type="dcterms:W3CDTF">2015-04-13T16:44:00Z</dcterms:modified>
</cp:coreProperties>
</file>